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2000"/>
        <w:gridCol w:w="2000"/>
        <w:tblGridChange w:id="100">
          <w:tblGrid>
            <w:gridCol w:w="3000"/>
            <w:gridCol w:w="1000"/>
          </w:tblGrid>
        </w:tblGridChange>
      </w:tblGrid>
      <w:tr>
        <w:tc>
          <w:tcPr>
            <w:tcW w:w="2000" w:type="dxa"/>
          </w:tcPr>
          <w:p>
            <w:r>
              <w:t xml:space="preserve">Canal marker</w:t>
            </w:r>
          </w:p>
        </w:tc>
        <w:tc>
          <w:tcPr>
            <w:tcW w:w="2000" w:type="dxa"/>
          </w:tcPr>
          <w:p>
            <w:r>
              <w:t xml:space="preserve">Quay marker</w:t>
            </w:r>
          </w:p>
        </w:tc>
      </w:tr>
      <w:tr>
        <w:tc>
          <w:tcPr>
            <w:tcW w:w="2000" w:type="dxa"/>
          </w:tcPr>
          <w:p>
            <w:r>
              <w:t xml:space="preserve">Ridge marker</w:t>
            </w:r>
          </w:p>
        </w:tc>
        <w:tc>
          <w:tcPr>
            <w:tcW w:w="2000" w:type="dxa"/>
          </w:tcPr>
          <w:p>
            <w:r>
              <w:t xml:space="preserve">Jetty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