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EstuaryEntry</w:t>
      </w:r>
    </w:p>
    <w:tbl>
      <w:tblPr>
        <w:tblW w:w="4800" w:type="dxa"/>
        <w:tblLayout w:type="fixed"/>
        <w:tblCellMar>
          <w:left w:w="0" w:type="dxa"/>
          <w:right w:w="180" w:type="dxa"/>
        </w:tblCellMar>
      </w:tblPr>
      <w:tblGrid>
        <w:gridCol w:w="4800"/>
      </w:tblGrid>
      <w:tr>
        <w:tc>
          <w:tcPr>
            <w:tcW w:w="4800" w:type="dxa"/>
          </w:tcPr>
          <w:p>
            <w:pPr/>
            <w:r>
              <w:rPr/>
              <w:t xml:space="preserve">CanalPier</w:t>
            </w:r>
          </w:p>
        </w:tc>
      </w:tr>
    </w:tbl>
    <w:p>
      <w:pPr/>
      <w:r>
        <w:rPr/>
        <w:t xml:space="preserve"/>
      </w:r>
    </w:p>
    <w:tbl>
      <w:tblPr>
        <w:tblW w:w="6000" w:type="dxa"/>
        <w:tblBorders>
          <w:top w:val="single" w:sz="8" w:color="246B7D"/>
          <w:left w:val="single" w:sz="8" w:color="246B7D"/>
          <w:bottom w:val="single" w:sz="8" w:color="246B7D"/>
          <w:right w:val="single" w:sz="8" w:color="246B7D"/>
        </w:tblBorders>
        <w:tblLayout w:type="fixed"/>
        <w:tblCellMar>
          <w:left w:w="720" w:type="dxa"/>
          <w:right w:w="180" w:type="dxa"/>
        </w:tblCellMar>
      </w:tblPr>
      <w:tblGrid>
        <w:gridCol w:w="6000"/>
      </w:tblGrid>
      <w:tr>
        <w:tc>
          <w:tcPr>
            <w:tcW w:w="6000" w:type="dxa"/>
          </w:tcPr>
          <w:p>
            <w:pPr/>
            <w:r>
              <w:rPr/>
              <w:t xml:space="preserve">InlandPier</w:t>
            </w:r>
          </w:p>
        </w:tc>
      </w:tr>
    </w:tbl>
    <w:p>
      <w:pPr/>
      <w:r>
        <w:rPr/>
        <w:t xml:space="preserve">EstuaryExit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32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