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OakBodyLine The survey crew checks the oak ledger.</w:t>
      </w:r>
      <w:r>
        <w:footnoteReference w:id="1"/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5" w:author="Oak Reviewer" w:date="2026-10-01T12:00:00Z">
    <w:p>
      <w:pPr/>
      <w:r>
        <w:rPr/>
        <w:t xml:space="preserve">Check OakStoryNote</w:t>
      </w:r>
    </w:p>
  </w:comment>
</w:comments>
</file>

<file path=word/footer1.xml><?xml version="1.0" encoding="utf-8"?>
<w:ftr xmlns:w="http://schemas.openxmlformats.org/wordprocessingml/2006/main">
  <w:p>
    <w:pPr/>
    <w:commentRangeStart w:id="5"/>
    <w:r>
      <w:rPr/>
      <w:t xml:space="preserve">OakFooterLine Ledger copy.</w:t>
    </w:r>
    <w:commentRangeEnd w:id="5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</w:t>
      </w:r>
      <w:r>
        <w:rPr/>
        <w:t xml:space="preserve">OakNoteLine Counted twice.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Relationship Id="rNotes" Type="http://schemas.openxmlformats.org/officeDocument/2006/relationships/footnotes" Target="footnotes.xml"/><Relationship Id="rComments" Type="http://schemas.openxmlformats.org/officeDocument/2006/relationships/comments" Target="comments.xml"/></Relationships>
</file>