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Ledger endnote format</w:t>
      </w:r>
    </w:p>
    <w:p>
      <w:pPr/>
      <w:r>
        <w:rPr/>
        <w:t xml:space="preserve">ChangeAnchor The survey closes at the eastern gate. </w:t>
      </w:r>
      <w:r>
        <w:rPr>
          <w:vertAlign w:val="superscript"/>
        </w:rPr>
        <w:endnoteReference w:id="1"/>
      </w:r>
    </w:p>
    <w:p>
      <w:pPr/>
      <w:r>
        <w:rPr/>
        <w:t xml:space="preserve">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  <w:sectPrChange w:id="41" w:author="Rowan Reviewer" w:date="2026-09-12T10:00:00Z">
        <w:sectPr>
          <w:endnotePr>
            <w:numFmt w:val="decimal"/>
          </w:endnotePr>
        </w:sectPr>
      </w:sectPrChange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/>
      <w:r>
        <w:endnoteRef/>
      </w:r>
      <w:r>
        <w:rPr/>
        <w:t xml:space="preserve"> ChangeNote The gate log is kept at the depot.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