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Harbor opening.</w:t>
      </w:r>
    </w:p>
    <w:tbl>
      <w:tblPr/>
      <w:tblGrid>
        <w:gridCol w:w="2000"/>
      </w:tblGrid>
      <w:tr>
        <w:tc>
          <w:tcPr>
            <w:tcW w:w="2000" w:type="dxa"/>
            <w:shd w:val="clear" w:fill="D9EAD3"/>
          </w:tcPr>
          <w:p>
            <w:r>
              <w:t xml:space="preserve">Harbor cell.</w:t>
            </w:r>
          </w:p>
        </w:tc>
      </w:tr>
    </w:tbl>
    <w:p>
      <w:r>
        <w:t xml:space="preserve">Harbor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