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PlacementBefore The register opens above the table.</w:t>
      </w:r>
    </w:p>
    <w:tbl>
      <w:tblPr>
        <w:tblW w:w="50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500"/>
      </w:tblGrid>
      <w:tr>
        <w:trPr>
          <w:trHeight w:val="360" w:hRule="atLeast"/>
        </w:trPr>
        <w:tc>
          <w:tcPr>
            <w:tcW w:w="2500" w:type="dxa"/>
          </w:tcPr>
          <w:p>
            <w:pPr/>
            <w:r>
              <w:rPr/>
              <w:t xml:space="preserve">FirstLeft Ledger cell.</w:t>
            </w:r>
          </w:p>
        </w:tc>
        <w:tc>
          <w:tcPr>
            <w:tcW w:w="2500" w:type="dxa"/>
          </w:tcPr>
          <w:p>
            <w:pPr/>
            <w:r>
              <w:rPr/>
              <w:t xml:space="preserve">FirstRight Entry cell.</w:t>
            </w:r>
          </w:p>
        </w:tc>
      </w:tr>
    </w:tbl>
    <w:tbl>
      <w:tblPr>
        <w:tblW w:w="50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V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500"/>
      </w:tblGrid>
      <w:tr>
        <w:trPr>
          <w:trHeight w:val="360" w:hRule="atLeast"/>
        </w:trPr>
        <w:tc>
          <w:tcPr>
            <w:tcW w:w="2500" w:type="dxa"/>
          </w:tcPr>
          <w:p>
            <w:pPr/>
            <w:r>
              <w:rPr/>
              <w:t xml:space="preserve">SecondLeft Ledger cell.</w:t>
            </w:r>
          </w:p>
        </w:tc>
        <w:tc>
          <w:tcPr>
            <w:tcW w:w="2500" w:type="dxa"/>
          </w:tcPr>
          <w:p>
            <w:pPr/>
            <w:r>
              <w:rPr/>
              <w:t xml:space="preserve">SecondRight Entry cell.</w:t>
            </w:r>
          </w:p>
        </w:tc>
      </w:tr>
    </w:tbl>
    <w:p>
      <w:pPr/>
      <w:r>
        <w:rPr/>
        <w:t xml:space="preserve">PlacementAfter The register continues below.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