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PlacementBefore The register opens above the table.</w:t>
      </w:r>
    </w:p>
    <w:tbl>
      <w:tblPr>
        <w:tblW w:w="500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V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2500"/>
      </w:tblGrid>
      <w:tr>
        <w:trPr>
          <w:trHeight w:val="360" w:hRule="atLeast"/>
        </w:trPr>
        <w:tc>
          <w:tcPr>
            <w:tcW w:w="2500" w:type="dxa"/>
          </w:tcPr>
          <w:p>
            <w:pPr/>
            <w:r>
              <w:rPr/>
              <w:t xml:space="preserve">MarginLeft Ledger cell.</w:t>
            </w:r>
          </w:p>
        </w:tc>
        <w:tc>
          <w:tcPr>
            <w:tcW w:w="2500" w:type="dxa"/>
          </w:tcPr>
          <w:p>
            <w:pPr/>
            <w:r>
              <w:rPr/>
              <w:t xml:space="preserve">MarginRight Entry cell.</w:t>
            </w:r>
          </w:p>
        </w:tc>
      </w:tr>
    </w:tbl>
    <w:p>
      <w:pPr/>
      <w:r>
        <w:rPr/>
        <w:t xml:space="preserve">PlacementAfter The register continues below.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