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0"/>
      </w:pPr>
      <w:r>
        <w:rPr/>
        <w:t xml:space="preserve">ZeroBefore The register opens above the table.</w:t>
      </w:r>
    </w:p>
    <w:tbl>
      <w:tblPr>
        <w:tblW w:w="72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600"/>
        <w:gridCol w:w="3600"/>
      </w:tblGrid>
      <w:tr>
        <w:trPr>
          <w:trHeight w:val="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     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     </w:t>
            </w:r>
          </w:p>
        </w:tc>
      </w:tr>
      <w:tr>
        <w:trPr>
          <w:trHeight w:val="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     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     </w:t>
            </w:r>
          </w:p>
        </w:tc>
      </w:tr>
      <w:tr>
        <w:trPr>
          <w:trHeight w:val="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     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     </w:t>
            </w:r>
          </w:p>
        </w:tc>
      </w:tr>
    </w:tbl>
    <w:p>
      <w:pPr>
        <w:spacing w:after="0"/>
      </w:pPr>
      <w:r>
        <w:rPr/>
        <w:t xml:space="preserve">ZeroAfter The register continues below the table.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