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endnotes.xml" ContentType="application/vnd.openxmlformats-officedocument.wordprocessingml.end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Willow citation records the note. </w:t>
      </w:r>
      <w:r>
        <w:rPr>
          <w:vertAlign w:val="superscript"/>
        </w:rPr>
        <w:endnoteReference w:id="1"/>
      </w:r>
    </w:p>
    <w:p>
      <w:pPr/>
      <w:r>
        <w:rPr/>
        <w:t xml:space="preserve">Willow route remains open.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/>
      <w:r>
        <w:endnoteRef/>
      </w:r>
      <w:r>
        <w:rPr/>
        <w:t xml:space="preserve"> FontNote Willow ledger keeps the original paragraph size.</w:t>
      </w:r>
    </w:p>
  </w:endnote>
</w:end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endnotes" Target="endnotes.xml"/></Relationships>
</file>