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1000"/>
      </w:tblGrid>
      <w:tr>
        <w:tc>
          <w:tcPr>
            <w:tcW w:w="1000" w:type="dxa"/>
            <w:shd w:val="clear" w:fill="FFF2CC"/>
          </w:tcPr>
          <w:p>
            <w:r>
              <w:t xml:space="preserve">Long reach marker</w:t>
            </w:r>
          </w:p>
        </w:tc>
      </w:tr>
      <w:tr>
        <w:tc>
          <w:tcPr>
            <w:tcW w:w="2000" w:type="dxa"/>
          </w:tcPr>
          <w:p>
            <w:r>
              <w:t xml:space="preserve">Quay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