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  <w:tr>
        <w:tc>
          <w:tcPr>
            <w:tcW w:w="2000" w:type="dxa"/>
          </w:tcPr>
          <w:p>
            <w:r>
              <w:t xml:space="preserve">Ridge marker</w:t>
            </w:r>
          </w:p>
        </w:tc>
        <w:tc>
          <w:tcPr>
            <w:tcW w:w="2000" w:type="dxa"/>
          </w:tcPr>
          <w:p>
            <w:r>
              <w:t xml:space="preserve">Jetty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