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50800" simplePos="0" relativeHeight="5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17600" cy="863600"/>
            <wp:wrapNone/>
            <wp:docPr id="61" name="Jasper checker panel"/>
            <a:graphic>
              <a:graphicData uri="http://schemas.openxmlformats.org/drawingml/2006/picture">
                <pic:pic>
                  <pic:nvPicPr>
                    <pic:cNvPr id="61" name="Jasper checker panel"/>
                    <pic:cNvPicPr/>
                  </pic:nvPicPr>
                  <pic:blipFill>
                    <a:blip r:embed="rJasperCheck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JasperWrapMarker</w:t>
      </w:r>
    </w:p>
    <w:p>
      <w:pPr/>
      <w:r>
        <w:rPr/>
        <w:t xml:space="preserve">JasperWrapReceipt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JasperCheck" Type="http://schemas.openxmlformats.org/officeDocument/2006/relationships/image" Target="media/jasper-check.png"/></Relationships>
</file>