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50800" simplePos="0" relativeHeight="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17600" cy="863600"/>
            <wp:wrapSquare wrapText="right"/>
            <wp:docPr id="61" name="Jasper checker panel"/>
            <a:graphic>
              <a:graphicData uri="http://schemas.openxmlformats.org/drawingml/2006/picture">
                <pic:pic>
                  <pic:nvPicPr>
                    <pic:cNvPr id="61" name="Jasper checker panel"/>
                    <pic:cNvPicPr/>
                  </pic:nvPicPr>
                  <pic:blipFill>
                    <a:blip r:embed="rJasperCheck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JasperWrapMarker</w:t>
      </w:r>
    </w:p>
    <w:p>
      <w:pPr/>
      <w:r>
        <w:rPr/>
        <w:t xml:space="preserve">JasperWrapReceipt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JasperCheck" Type="http://schemas.openxmlformats.org/officeDocument/2006/relationships/image" Target="media/jasper-check.png"/></Relationships>
</file>