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1714500" cy="812800"/>
            <wp:wrapTopAndBottom/>
            <wp:docPr id="67" name="Jasper pale colum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812800"/>
                    </a:xfrm>
                    <a:prstGeom prst="rect">
                      <a:avLst/>
                    </a:prstGeom>
                    <a:solidFill>
                      <a:srgbClr val="DCE9D2"/>
                    </a:solidFill>
                    <a:ln w="12700">
                      <a:solidFill>
                        <a:srgbClr val="4A6A3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JasperClearanceStart</w:t>
      </w:r>
    </w:p>
    <w:p>
      <w:pPr/>
      <w:r>
        <w:rPr/>
        <w:t xml:space="preserve">JasperClearanceEnd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