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NoteCite Receiver maintenance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 w:line="240" w:lineRule="auto"/>
      </w:pPr>
      <w:r>
        <w:rPr>
          <w:rFonts w:ascii="Liberation Serif" w:hAnsi="Liberation Serif"/>
          <w:sz w:val="20"/>
          <w:vertAlign w:val="superscript"/>
        </w:rPr>
        <w:footnoteRef/>
      </w:r>
      <w:r>
        <w:rPr>
          <w:rFonts w:ascii="Liberation Serif" w:hAnsi="Liberation Serif"/>
          <w:sz w:val="20"/>
        </w:rPr>
        <w:t xml:space="preserve"> NoteQuartz A spare quartz plate remains in the cabinet.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