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LarchAlignBody Keep the tally sheet flat.</w:t>
      </w:r>
    </w:p>
    <w:sectPr>
      <w:foot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footer1.xml><?xml version="1.0" encoding="utf-8"?>
<w:ftr xmlns:w="http://schemas.openxmlformats.org/wordprocessingml/2006/main">
  <w:p>
    <w:pPr>
      <w:pStyle w:val="CentredFrame"/>
      <w:framePr w:wrap="around" w:x="2000"/>
    </w:pPr>
    <w:r>
      <w:rPr/>
      <w:t xml:space="preserve">LarchAlign01 Tally mark.</w:t>
    </w:r>
  </w:p>
  <w:p>
    <w:pPr>
      <w:jc w:val="center"/>
    </w:pPr>
    <w:r>
      <w:rPr/>
      <w:t xml:space="preserve">LarchSheet01 Leaf control.</w:t>
    </w:r>
  </w:p>
</w:ft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 w:line="240" w:lineRule="exact"/>
      </w:pPr>
    </w:pPrDefault>
  </w:docDefaults>
  <w:style w:type="paragraph" w:customStyle="1" w:styleId="CentredFrame">
    <w:name w:val="Centred Frame"/>
    <w:pPr>
      <w:framePr w:w="2880" w:wrap="around" w:vAnchor="text" w:hAnchor="page" w:xAlign="center" w:y="40"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footer" Target="footer1.xml"/></Relationships>
</file>