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ElmStampBody Keep the stamp ledger dry.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pStyle w:val="StampFrame"/>
      <w:framePr w:wrap="auto"/>
    </w:pPr>
    <w:r>
      <w:rPr/>
      <w:t xml:space="preserve">ElmStamp01 Archive stamp.</w:t>
    </w:r>
  </w:p>
  <w:p>
    <w:pPr>
      <w:jc w:val="center"/>
    </w:pPr>
    <w:r>
      <w:rPr/>
      <w:t xml:space="preserve">ElmSheet01 Leaf control.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 w:line="240" w:lineRule="exact"/>
      </w:pPr>
    </w:pPrDefault>
  </w:docDefaults>
  <w:style w:type="paragraph" w:customStyle="1" w:styleId="StampFrame">
    <w:name w:val="Stamp Frame"/>
    <w:pPr>
      <w:framePr w:w="8640" w:wrap="auto" w:vAnchor="text" w:hAnchor="page" w:x="1008" w:y="40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