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FirCite The inventory cites one note.</w:t>
      </w:r>
      <w:r>
        <w:footnoteReference w:id="1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irNote"/>
        <w:spacing w:after="0" w:line="240" w:lineRule="auto"/>
      </w:pPr>
      <w:r>
        <w:rPr>
          <w:vertAlign w:val="superscript"/>
        </w:rPr>
        <w:footnoteRef/>
      </w:r>
      <w:r>
        <w:rPr/>
        <w:t xml:space="preserve"> FirNote The eastern shelf holds the spare slate.</w:t>
      </w: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FirNote">
    <w:name w:val="Fir Note"/>
    <w:rPr>
      <w:rFonts w:ascii="Times New Roman" w:hAnsi="Times New Roman"/>
      <w:sz w:val="20"/>
      <w:rPrChange w:id="41" w:author="Fir Reviewer" w:date="2026-10-30T10:00:00Z">
        <w:rPr>
          <w:rFonts w:ascii="Arial" w:hAnsi="Arial"/>
        </w:rPr>
      </w:rPrChange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