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DOCX rendering fidelity scoring</w:t>
      </w:r>
    </w:p>
    <w:p>
      <w:pPr/>
      <w:r>
        <w:rPr/>
        <w:t xml:space="preserve">This benchmark compares the PDF delivered by a renderer with an immutable reference PDF. It reports a layout similarity score, mandatory correctness checks, and measured coverage together. A high layout score alone does not prove correct text, links, color, reading order, or every DOCX feature. The first track uses LibreOffice; Word scores require separately registered Word captures.</w:t>
      </w:r>
    </w:p>
    <w:p>
      <w:pPr/>
      <w:r>
        <w:rPr/>
        <w:t xml:space="preserve">The comparison (redline) track has its own contract: authored document pairs, accept/reject round trips through two independent engines, validity, and declared structural assertions. It is described in docs/REDLINE.md and is not part of the PDF suite score.</w:t>
      </w:r>
    </w:p>
    <w:p>
      <w:pPr>
        <w:pStyle w:val="Heading1"/>
      </w:pPr>
      <w:r>
        <w:rPr/>
        <w:t xml:space="preserve">Page measurements</w:t>
      </w:r>
    </w:p>
    <w:p>
      <w:pPr/>
      <w:r>
        <w:rPr/>
        <w:t xml:space="preserve">Rasterize both PDFs with the same Poppler executable at 96 DPI using their physical CropBox. Compare pixels at their original positions. Do not align, resize, warp, remove content, or mask regions. Poppler sizes each raster from its own fractional page extent, so two pages whose physical boxes agree within the 0.25-point geometry tolerance can differ by one pixel. When each raster dimension differs by at most one pixel, place both rasters unchanged at their CropBox top-left origin on a white canvas of the larger width and height; the added edge is blank, and any ink there is still measured. Rasters that differ by more than one pixel in either dimension fail a mandatory check and score zero. The physical geometry check applies independently.</w:t>
      </w:r>
    </w:p>
    <w:p>
      <w:pPr/>
      <w:r>
        <w:rPr/>
        <w:t xml:space="preserve">Ink is any pixel with at least one RGB channel below 231. Precision is the fraction of candidate ink pixels that have reference ink within one pixel horizontally, vertically, or diagonally. Recall is the fraction of reference ink pixels that have candidate ink within the same radius. The one-pixel radius is about 0.75 PDF points at 96 DPI.</w:t>
      </w:r>
    </w:p>
    <w:p>
      <w:pPr/>
      <w:r>
        <w:rPr/>
        <w:t xml:space="preserve">Ink F1 is two times precision times recall, divided by their sum. If their sum is zero, F1 is zero. If one mask is empty and the other contains ink, F1 is zero. If both are empty, F1 is one. Blank pages still face page count and content checks.</w:t>
      </w:r>
    </w:p>
    <w:p>
      <w:pPr/>
      <w:r>
        <w:rPr/>
        <w:t xml:space="preserve">SSIM uses luminance 0.2126 R + 0.7152 G + 0.0722 B, non-overlapping 8 by 8 windows, smaller windows at page edges, population variance/covariance, C1 = 6.5025, and C2 = 58.5225. For each window, multiply (2 μr μc + C1) by (2 covariance + C2) and divide by (μr² + μc² + C1) × (variance_r + variance_c + C2). Average window values by pixel count. Preserve the raw mean and clamp it to zero through one for scoring. This is metric version 2, implemented in bench/metrics.py.</w:t>
      </w:r>
    </w:p>
    <w:p>
      <w:pPr/>
      <w:r>
        <w:rPr/>
        <w:t xml:space="preserve">The page score is 100 times the smaller of SSIM and ink F1. Keep full precision in JSON and round only for display. For precision 0.96 and recall 0.90, F1 is 0.929032. If SSIM is 0.985, the page scores 92.90. This means the weaker similarity measure is approximately 0.929; it does not mean 92.90 percent of the document is correct.</w:t>
      </w:r>
    </w:p>
    <w:p>
      <w:pPr>
        <w:pStyle w:val="Heading1"/>
        <w:pageBreakBefore/>
      </w:pPr>
      <w:r>
        <w:rPr/>
        <w:t xml:space="preserve">Cases and suites</w:t>
      </w:r>
    </w:p>
    <w:p>
      <w:pPr/>
      <w:r>
        <w:rPr/>
        <w:t xml:space="preserve">A case uses its lowest page score. One bad page cannot be averaged away. Any mandatory failure makes the case score zero, even if most pixels match. Extra and missing pages remain in the union of page indices and score zero. Known conversion failures are measured candidate failures with zero scores. Missing references, invalid reference content/fonts, or broken measurement infrastructure are unmeasured.</w:t>
      </w:r>
    </w:p>
    <w:p>
      <w:pPr/>
      <w:r>
        <w:rPr/>
        <w:t xml:space="preserve">Mandatory checks cover conversion, artifact digests, page count, physical MediaBox and CropBox coordinates within 0.25 PDF points, rotation, raster dimensions, the full visible token inventory including duplicate counts (visible text excludes the invisible Unicode bidirectional formatting controls U+061C, U+200E, U+200F and U+202A–U+202E, U+2066–U+2069; every other character, including letters, punctuation, soft hyphens and zero-width spaces, still counts, and each normalized word keeps its raw extraction as evidence), declared font families, and each case's assertions. Physical box coordinates include UserUnit. Marker matching uses the same visible text and must be unique; ambiguity fails. Region assertion version 2 allows a declared 0.0001-point boundary tolerance for PDF coordinate serialization, about 0.000133 pixels at 96 DPI; version 1 retains exact boundaries. This does not shift or align rasters. Current assertions check named regions/page membership, markers sharing a page, and marker origins relative to the captured reference. The endnote origin uses 0.5-point tolerance and the reference page, so reference providers can use distinct endnote page layouts. Future link, reading order, precise baseline, and perceptual color assertions need explicit implementations and tests; they are not implied by this score.</w:t>
      </w:r>
    </w:p>
    <w:p>
      <w:pPr/>
      <w:r>
        <w:rPr/>
        <w:t xml:space="preserve">Within each primary category, average case scores. Then average the category means equally. Two column cases scoring 99 and 97 give a column mean of 98. With a note case at 60 and a table case at 100, the suite scores 86.00. If note conversion fails, its zero remains in the denominator and the suite scores 66.00.</w:t>
      </w:r>
    </w:p>
    <w:p>
      <w:pPr/>
      <w:r>
        <w:rPr/>
        <w:t xml:space="preserve">Publish a suite score only when every required case is eligible and has a classified candidate outcome. An absent reference does not become a zero score; it makes the suite incomplete and removes the headline score. Always display measured/required coverage, mandatory pass rate, close-match rate, and per-case evidence. Current partial category means are diagnostic only.</w:t>
      </w:r>
    </w:p>
    <w:p>
      <w:pPr>
        <w:pStyle w:val="Heading1"/>
        <w:pageBreakBefore/>
      </w:pPr>
      <w:r>
        <w:rPr/>
        <w:t xml:space="preserve">Gates and reproducibility</w:t>
      </w:r>
    </w:p>
    <w:p>
      <w:pPr/>
      <w:r>
        <w:rPr/>
        <w:t xml:space="preserve">A close match needs every mandatory check and, on every page, SSIM at least 0.98 and ink F1 at least 0.95. These are initial engineering targets, not calibrated perceptual guarantees. Report-only mode permits complete runs with known rendering failures. Mandatory and close gates enforce their additional conditions. Every mode fails on incomplete coverage.</w:t>
      </w:r>
    </w:p>
    <w:p>
      <w:pPr/>
      <w:r>
        <w:rPr/>
        <w:t xml:space="preserve">Regression comparison requires an unchanged measurement contract: metric version, suite and input/generator digests, immutable reference bundle, PDF utilities and hashes, font files, adapter identity, and candidate runtime. Candidate source commits may differ. A changed reference provider creates a separate track. Reuse the same registered reference bundle to compare candidate versions; regenerated PDF metadata can change bundle identity.</w:t>
      </w:r>
    </w:p>
    <w:p>
      <w:pPr/>
      <w:r>
        <w:rPr/>
        <w:t xml:space="preserve">Before enabling a release gate, measure repeated reference and candidate exports and deliberate errors. The automated calibration tests cover identical images, blank/missing ink, shifted ink, threshold boundaries, changed colors, missing pages, duplicate text, ambiguous markers, wrong fonts, changed page units, stale identities, and incomplete coverage. Compare identical-engine exports as an integration check. Noise tolerances require review of repeated measurements; they are never chosen to make a desired candidate pass.</w:t>
      </w:r>
    </w:p>
    <w:p>
      <w:pPr/>
      <w:r>
        <w:rPr/>
        <w:t xml:space="preserve">A regression record proposal requires a complete, intact result and the current suite. It writes a new proposal and does not refresh records automatically. Review paired images, overlays, PDFs, diagnostics, and environment identities before accepting one. A regression pass can coexist with visible differences; preserve those differences in the report. </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Liberation Serif" w:cs="Liberation Serif"/>
        <w:sz w:val="22"/>
        <w:color w:val="000000"/>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after="240"/>
    </w:pPr>
    <w:rPr>
      <w:b/>
      <w:sz w:val="32"/>
    </w:rPr>
  </w:style>
  <w:style w:type="paragraph" w:styleId="Heading1">
    <w:name w:val="Heading 1"/>
    <w:basedOn w:val="Normal"/>
    <w:pPr>
      <w:keepNext/>
      <w:outlineLvl w:val="0"/>
      <w:spacing w:before="240" w:after="120"/>
    </w:pPr>
    <w:rPr>
      <w:b/>
      <w:sz w:val="28"/>
      <w:color w:val="000000"/>
    </w:rPr>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