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opening</w:t>
      </w:r>
      <w:r>
        <w:t xml:space="preserve">.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Entry alpha first.</w:t>
            </w:r>
          </w:p>
          <w:p>
            <w:r>
              <w:t xml:space="preserve">Entry alpha second</w:t>
            </w:r>
            <w:r>
              <w:t xml:space="preserve">.</w:t>
            </w:r>
          </w:p>
        </w:tc>
        <w:tc>
          <w:tcPr>
            <w:tcW w:w="4680" w:type="dxa"/>
          </w:tcPr>
          <w:p>
            <w:r>
              <w:t xml:space="preserve">Entry beta.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