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Canal marker</w:t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>Quay marker</w:t>
            </w:r>
          </w:p>
        </w:tc>
      </w:tr>
      <w:tr>
        <w:tc>
          <w:tcPr>
            <w:tcW w:w="2000" w:type="dxa"/>
          </w:tcPr>
          <w:p>
            <w:r>
              <w:t xml:space="preserve">Ridge marker</w:t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>Jetty marker</w:t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