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Endnote placement</w:t>
      </w:r>
    </w:p>
    <w:p>
      <w:pPr/>
      <w:r>
        <w:rPr/>
        <w:t xml:space="preserve">NoteAnchor The route is checked before departure. </w:t>
      </w:r>
      <w:r>
        <w:rPr>
          <w:vertAlign w:val="superscript"/>
        </w:rPr>
        <w:endnoteReference w:id="1"/>
      </w:r>
    </w:p>
    <w:p>
      <w:pPr/>
      <w:r>
        <w:rPr/>
        <w:t xml:space="preserve">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/>
      <w:r>
        <w:endnoteRef/>
      </w:r>
      <w:r>
        <w:rPr/>
        <w:t xml:space="preserve"> NoteText The recorded distance is five miles.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