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Service agreement layout</w:t>
      </w:r>
    </w:p>
    <w:p>
      <w:pPr>
        <w:jc w:val="both"/>
      </w:pPr>
      <w:r>
        <w:rPr/>
        <w:t xml:space="preserve">Clause01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Clause02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Clause03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Clause04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Clause05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Clause06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Clause07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Clause08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Clause09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Clause10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Clause11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Clause12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Clause13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Clause14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Clause15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Clause16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Clause17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Clause18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Clause19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Clause20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Clause21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Clause22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Clause23 The parties will inspect the sample, record the agreed date, and send the written schedule to the project office. Each report includes the measured quantity and the name of the person responsible for the next review.</w:t>
      </w:r>
    </w:p>
    <w:p>
      <w:pPr>
        <w:jc w:val="both"/>
      </w:pPr>
      <w:r>
        <w:rPr/>
        <w:t xml:space="preserve">Clause24 The parties will inspect the sample, record the agreed date, and send the written schedule to the project office. Each report includes the measured quantity and the name of the person responsible for the next review.</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Liberation Serif" w:cs="Liberation Serif"/>
        <w:sz w:val="22"/>
        <w:color w:val="000000"/>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after="240"/>
    </w:pPr>
    <w:rPr>
      <w:b/>
      <w:sz w:val="32"/>
    </w:rPr>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