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Inherited cell margins</w:t>
      </w:r>
    </w:p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CellLeft</w:t>
            </w:r>
          </w:p>
        </w:tc>
        <w:tc>
          <w:tcPr/>
          <w:p>
            <w:pPr/>
            <w:r>
              <w:rPr/>
              <w:t xml:space="preserve">CellRight</w:t>
            </w:r>
          </w:p>
        </w:tc>
      </w:tr>
      <w:tr>
        <w:tc>
          <w:tcPr/>
          <w:p>
            <w:pPr/>
            <w:r>
              <w:rPr/>
              <w:t xml:space="preserve">SecondLeft</w:t>
            </w:r>
          </w:p>
        </w:tc>
        <w:tc>
          <w:tcPr/>
          <w:p>
            <w:pPr/>
            <w:r>
              <w:rPr/>
              <w:t xml:space="preserve">SecondRight</w:t>
            </w:r>
          </w:p>
        </w:tc>
      </w:tr>
    </w:tbl>
    <w:p>
      <w:pPr/>
      <w:r>
        <w:rPr/>
        <w:t xml:space="preserve">AfterMargins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