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FirCite The inventory cites one note.</w:t>
      </w:r>
      <w: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irNote"/>
        <w:spacing w:after="0" w:line="240" w:lineRule="auto"/>
      </w:pPr>
      <w:r>
        <w:rPr>
          <w:vertAlign w:val="superscript"/>
        </w:rPr>
        <w:footnoteRef/>
      </w:r>
      <w:r>
        <w:rPr/>
        <w:t xml:space="preserve"> FirNote The eastern shelf holds the spare slate.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FirNote">
    <w:name w:val="Fir Note"/>
    <w:rPr>
      <w:rFonts w:ascii="Times New Roman" w:hAnsi="Times New Roman"/>
      <w:sz w:val="20"/>
      <w:rPrChange w:id="41" w:author="Fir Reviewer" w:date="2026-10-30T10:00:00Z">
        <w:rPr>
          <w:rFonts w:ascii="Arial" w:hAnsi="Arial"/>
        </w:rPr>
      </w:rPrChange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