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FirCite The inventory cites one note.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irNote"/>
        <w:spacing w:after="0" w:line="240" w:lineRule="auto"/>
      </w:pPr>
      <w:r>
        <w:rPr/>
        <w:t xml:space="preserve"> FirNote The eastern shelf holds the spare slate.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FirNote">
    <w:name w:val="Fir Note"/>
    <w:rPr>
      <w:rFonts w:ascii="Times New Roman" w:hAnsi="Times New Roman"/>
      <w:sz w:val="20"/>
      <w:rPrChange w:id="41" w:author="Fir Reviewer" w:date="2026-10-30T10:00:00Z">
        <w:rPr>
          <w:rFonts w:ascii="Arial" w:hAnsi="Arial"/>
        </w:rPr>
      </w:rPrChange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