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 w:val="0"/>
        <w:widowControl w:val="0"/>
      </w:pPr>
      <w:r>
        <w:pict>
          <v:oval id="FlintOval0" alt="[SHAPE]" style="width:48pt;height:50pt"/>
        </w:pict>
      </w:r>
      <w:r>
        <w:drawing>
          <wp:inline distT="0" distB="0" distL="0" distR="0">
            <wp:extent cx="2159000" cy="3048000"/>
            <wp:docPr id="24" name="Flint atom picture"/>
            <a:graphic>
              <a:graphicData uri="http://schemas.openxmlformats.org/drawingml/2006/picture">
                <pic:pic>
                  <pic:nvPicPr>
                    <pic:cNvPr id="24" name="Flint atom pictur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FlintShapeReceipt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