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/>
      <w:r>
        <w:rPr/>
        <w:t xml:space="preserve">FlintRuleBefore</w:t>
      </w:r>
    </w:p>
    <w:p>
      <w:pPr/>
      <w:r>
        <w:drawing>
          <wp:anchor distT="25400" distB="25400" distL="0" distR="0" simplePos="0" relativeHeight="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177800</wp:posOffset>
            </wp:positionV>
            <wp:extent cx="1219200" cy="0"/>
            <wp:wrapTopAndBottom/>
            <wp:docPr id="21" name="Flint separator ru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0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6D379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FlintRuleAfter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