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/>
      <w:r>
        <w:rPr/>
        <w:t xml:space="preserve">FlintRuleBefore</w:t>
      </w:r>
    </w:p>
    <w:p>
      <w:pPr/>
      <w:r>
        <w:drawing>
          <wp:anchor distT="-2540" distB="-2540" distL="0" distR="0" simplePos="0" relativeHeight="4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177800</wp:posOffset>
            </wp:positionV>
            <wp:extent cx="1219200" cy="0"/>
            <wp:wrapTopAndBottom/>
            <wp:docPr id="21" name="Flint separator ru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00" cy="0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6D379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/>
      <w:r>
        <w:rPr/>
        <w:t xml:space="preserve">FlintRuleAfter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