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BodyMarker The cedar drawer is ready.</w:t>
      </w:r>
    </w:p>
    <w:sectPr>
      <w:head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header1.xml><?xml version="1.0" encoding="utf-8"?>
<w:hdr xmlns:w="http://schemas.openxmlformats.org/wordprocessingml/2006/main">
  <w:p>
    <w:pPr/>
    <w:r>
      <w:rPr>
        <w:vanish/>
      </w:rPr>
      <w:t xml:space="preserve">SecretMarker Concealed archive note.</w:t>
    </w:r>
  </w:p>
  <w:p>
    <w:pPr/>
    <w:r>
      <w:rPr/>
      <w:t xml:space="preserve">HeaderMarker Night archive register.</w:t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