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CD461" w14:textId="77777777" w:rsidR="00C02E8C" w:rsidRDefault="00C02E8C" w:rsidP="00C02E8C">
      <w:pPr>
        <w:pStyle w:val="Nzevpedpisu"/>
      </w:pPr>
    </w:p>
    <w:p w14:paraId="4E6C57A4" w14:textId="77777777" w:rsidR="00C02E8C" w:rsidRDefault="00C02E8C" w:rsidP="00C02E8C">
      <w:pPr>
        <w:pStyle w:val="Nzevpedpisu"/>
      </w:pPr>
    </w:p>
    <w:p w14:paraId="2D6B1694" w14:textId="77777777" w:rsidR="00C02E8C" w:rsidRDefault="00C02E8C" w:rsidP="00C02E8C">
      <w:pPr>
        <w:pStyle w:val="Nzevpedpisu"/>
      </w:pPr>
    </w:p>
    <w:p w14:paraId="004E0A1B" w14:textId="77777777" w:rsidR="00C02E8C" w:rsidRPr="009E39BD" w:rsidRDefault="00C02E8C" w:rsidP="00C02E8C">
      <w:pPr>
        <w:pStyle w:val="Nzevpedpisu"/>
      </w:pPr>
      <w:r w:rsidRPr="009E39BD">
        <w:t>Pracovní předpis</w:t>
      </w:r>
    </w:p>
    <w:p w14:paraId="4CE65538" w14:textId="77777777" w:rsidR="00C02E8C" w:rsidRPr="009E39BD" w:rsidRDefault="00C02E8C" w:rsidP="00C02E8C">
      <w:pPr>
        <w:pStyle w:val="Nzevpedpisu"/>
      </w:pPr>
    </w:p>
    <w:p w14:paraId="3B603404" w14:textId="77777777" w:rsidR="00C02E8C" w:rsidRPr="009E39BD" w:rsidRDefault="00C02E8C" w:rsidP="00C02E8C">
      <w:pPr>
        <w:pStyle w:val="Nzevpedpisu"/>
        <w:rPr>
          <w:sz w:val="40"/>
        </w:rPr>
        <w:sectPr w:rsidR="00C02E8C" w:rsidRPr="009E39BD" w:rsidSect="008A0D21">
          <w:headerReference w:type="even" r:id="rId12"/>
          <w:headerReference w:type="default" r:id="rId13"/>
          <w:footerReference w:type="even" r:id="rId14"/>
          <w:footerReference w:type="default" r:id="rId15"/>
          <w:headerReference w:type="first" r:id="rId16"/>
          <w:footerReference w:type="first" r:id="rId17"/>
          <w:pgSz w:w="11906" w:h="16838" w:code="9"/>
          <w:pgMar w:top="1134" w:right="1418" w:bottom="1134" w:left="1418" w:header="709" w:footer="709" w:gutter="0"/>
          <w:cols w:space="708"/>
          <w:docGrid w:linePitch="360"/>
        </w:sectPr>
      </w:pPr>
      <w:r w:rsidRPr="009E39BD">
        <w:rPr>
          <w:sz w:val="40"/>
        </w:rPr>
        <w:t>Návrh, vývoj a správa investičních produktů v J&amp;T BANCE</w:t>
      </w:r>
    </w:p>
    <w:p w14:paraId="74B84A2D" w14:textId="77777777" w:rsidR="00C02E8C" w:rsidRPr="009E39BD" w:rsidRDefault="00C02E8C" w:rsidP="00C02E8C">
      <w:pPr>
        <w:numPr>
          <w:ilvl w:val="0"/>
          <w:numId w:val="0"/>
        </w:numPr>
        <w:rPr>
          <w:b/>
          <w:bCs/>
          <w:sz w:val="24"/>
        </w:rPr>
      </w:pPr>
      <w:r w:rsidRPr="009E39BD">
        <w:rPr>
          <w:b/>
          <w:bCs/>
          <w:sz w:val="24"/>
        </w:rPr>
        <w:lastRenderedPageBreak/>
        <w:t>Obsah</w:t>
      </w:r>
    </w:p>
    <w:p w14:paraId="5D02A08C" w14:textId="77777777" w:rsidR="00C02E8C" w:rsidRDefault="00C02E8C" w:rsidP="00C02E8C">
      <w:pPr>
        <w:pStyle w:val="Obsah1"/>
        <w:tabs>
          <w:tab w:val="left" w:pos="1416"/>
          <w:tab w:val="right" w:leader="dot" w:pos="9060"/>
        </w:tabs>
        <w:rPr>
          <w:rFonts w:asciiTheme="minorHAnsi" w:eastAsiaTheme="minorEastAsia" w:hAnsiTheme="minorHAnsi" w:cstheme="minorBidi"/>
          <w:b w:val="0"/>
          <w:bCs w:val="0"/>
          <w:noProof/>
          <w:szCs w:val="22"/>
        </w:rPr>
      </w:pPr>
      <w:r w:rsidRPr="009E39BD">
        <w:fldChar w:fldCharType="begin"/>
      </w:r>
      <w:r w:rsidRPr="009E39BD">
        <w:instrText xml:space="preserve"> TOC \o "1-2" \h \z </w:instrText>
      </w:r>
      <w:r w:rsidRPr="009E39BD">
        <w:fldChar w:fldCharType="separate"/>
      </w:r>
      <w:hyperlink w:anchor="_Toc89762369" w:history="1">
        <w:r w:rsidRPr="00435FF9">
          <w:rPr>
            <w:rStyle w:val="Hypertextovodkaz"/>
            <w:noProof/>
          </w:rPr>
          <w:t>1</w:t>
        </w:r>
        <w:r>
          <w:rPr>
            <w:rFonts w:asciiTheme="minorHAnsi" w:eastAsiaTheme="minorEastAsia" w:hAnsiTheme="minorHAnsi" w:cstheme="minorBidi"/>
            <w:b w:val="0"/>
            <w:bCs w:val="0"/>
            <w:noProof/>
            <w:szCs w:val="22"/>
          </w:rPr>
          <w:tab/>
        </w:r>
        <w:r w:rsidRPr="00435FF9">
          <w:rPr>
            <w:rStyle w:val="Hypertextovodkaz"/>
            <w:noProof/>
          </w:rPr>
          <w:t>Základní ustanovení</w:t>
        </w:r>
        <w:r>
          <w:rPr>
            <w:noProof/>
            <w:webHidden/>
          </w:rPr>
          <w:tab/>
        </w:r>
        <w:r>
          <w:rPr>
            <w:noProof/>
            <w:webHidden/>
          </w:rPr>
          <w:fldChar w:fldCharType="begin"/>
        </w:r>
        <w:r>
          <w:rPr>
            <w:noProof/>
            <w:webHidden/>
          </w:rPr>
          <w:instrText xml:space="preserve"> PAGEREF _Toc89762369 \h </w:instrText>
        </w:r>
        <w:r>
          <w:rPr>
            <w:noProof/>
            <w:webHidden/>
          </w:rPr>
        </w:r>
        <w:r>
          <w:rPr>
            <w:noProof/>
            <w:webHidden/>
          </w:rPr>
          <w:fldChar w:fldCharType="separate"/>
        </w:r>
        <w:r>
          <w:rPr>
            <w:noProof/>
            <w:webHidden/>
          </w:rPr>
          <w:t>3</w:t>
        </w:r>
        <w:r>
          <w:rPr>
            <w:noProof/>
            <w:webHidden/>
          </w:rPr>
          <w:fldChar w:fldCharType="end"/>
        </w:r>
      </w:hyperlink>
    </w:p>
    <w:p w14:paraId="48D612F8" w14:textId="77777777" w:rsidR="00C02E8C" w:rsidRDefault="00E05122" w:rsidP="00C02E8C">
      <w:pPr>
        <w:pStyle w:val="Obsah2"/>
        <w:rPr>
          <w:rFonts w:asciiTheme="minorHAnsi" w:eastAsiaTheme="minorEastAsia" w:hAnsiTheme="minorHAnsi" w:cstheme="minorBidi"/>
          <w:noProof/>
          <w:sz w:val="22"/>
          <w:szCs w:val="22"/>
        </w:rPr>
      </w:pPr>
      <w:hyperlink w:anchor="_Toc89762370" w:history="1">
        <w:r w:rsidR="00C02E8C" w:rsidRPr="00435FF9">
          <w:rPr>
            <w:rStyle w:val="Hypertextovodkaz"/>
            <w:noProof/>
          </w:rPr>
          <w:t>1.1</w:t>
        </w:r>
        <w:r w:rsidR="00C02E8C">
          <w:rPr>
            <w:rFonts w:asciiTheme="minorHAnsi" w:eastAsiaTheme="minorEastAsia" w:hAnsiTheme="minorHAnsi" w:cstheme="minorBidi"/>
            <w:noProof/>
            <w:sz w:val="22"/>
            <w:szCs w:val="22"/>
          </w:rPr>
          <w:tab/>
        </w:r>
        <w:r w:rsidR="00C02E8C" w:rsidRPr="00435FF9">
          <w:rPr>
            <w:rStyle w:val="Hypertextovodkaz"/>
            <w:noProof/>
          </w:rPr>
          <w:t>Účel předpisu</w:t>
        </w:r>
        <w:r w:rsidR="00C02E8C">
          <w:rPr>
            <w:noProof/>
            <w:webHidden/>
          </w:rPr>
          <w:tab/>
        </w:r>
        <w:r w:rsidR="00C02E8C">
          <w:rPr>
            <w:noProof/>
            <w:webHidden/>
          </w:rPr>
          <w:fldChar w:fldCharType="begin"/>
        </w:r>
        <w:r w:rsidR="00C02E8C">
          <w:rPr>
            <w:noProof/>
            <w:webHidden/>
          </w:rPr>
          <w:instrText xml:space="preserve"> PAGEREF _Toc89762370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57A29473" w14:textId="77777777" w:rsidR="00C02E8C" w:rsidRDefault="00E05122" w:rsidP="00C02E8C">
      <w:pPr>
        <w:pStyle w:val="Obsah2"/>
        <w:rPr>
          <w:rFonts w:asciiTheme="minorHAnsi" w:eastAsiaTheme="minorEastAsia" w:hAnsiTheme="minorHAnsi" w:cstheme="minorBidi"/>
          <w:noProof/>
          <w:sz w:val="22"/>
          <w:szCs w:val="22"/>
        </w:rPr>
      </w:pPr>
      <w:hyperlink w:anchor="_Toc89762371" w:history="1">
        <w:r w:rsidR="00C02E8C" w:rsidRPr="00435FF9">
          <w:rPr>
            <w:rStyle w:val="Hypertextovodkaz"/>
            <w:noProof/>
          </w:rPr>
          <w:t>1.2</w:t>
        </w:r>
        <w:r w:rsidR="00C02E8C">
          <w:rPr>
            <w:rFonts w:asciiTheme="minorHAnsi" w:eastAsiaTheme="minorEastAsia" w:hAnsiTheme="minorHAnsi" w:cstheme="minorBidi"/>
            <w:noProof/>
            <w:sz w:val="22"/>
            <w:szCs w:val="22"/>
          </w:rPr>
          <w:tab/>
        </w:r>
        <w:r w:rsidR="00C02E8C" w:rsidRPr="00435FF9">
          <w:rPr>
            <w:rStyle w:val="Hypertextovodkaz"/>
            <w:noProof/>
          </w:rPr>
          <w:t>Přiřazení předpisu k procesu</w:t>
        </w:r>
        <w:r w:rsidR="00C02E8C">
          <w:rPr>
            <w:noProof/>
            <w:webHidden/>
          </w:rPr>
          <w:tab/>
        </w:r>
        <w:r w:rsidR="00C02E8C">
          <w:rPr>
            <w:noProof/>
            <w:webHidden/>
          </w:rPr>
          <w:fldChar w:fldCharType="begin"/>
        </w:r>
        <w:r w:rsidR="00C02E8C">
          <w:rPr>
            <w:noProof/>
            <w:webHidden/>
          </w:rPr>
          <w:instrText xml:space="preserve"> PAGEREF _Toc89762371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1325F03F" w14:textId="77777777" w:rsidR="00C02E8C" w:rsidRDefault="00E05122" w:rsidP="00C02E8C">
      <w:pPr>
        <w:pStyle w:val="Obsah2"/>
        <w:rPr>
          <w:rFonts w:asciiTheme="minorHAnsi" w:eastAsiaTheme="minorEastAsia" w:hAnsiTheme="minorHAnsi" w:cstheme="minorBidi"/>
          <w:noProof/>
          <w:sz w:val="22"/>
          <w:szCs w:val="22"/>
        </w:rPr>
      </w:pPr>
      <w:hyperlink w:anchor="_Toc89762372" w:history="1">
        <w:r w:rsidR="00C02E8C" w:rsidRPr="00435FF9">
          <w:rPr>
            <w:rStyle w:val="Hypertextovodkaz"/>
            <w:noProof/>
          </w:rPr>
          <w:t>1.3</w:t>
        </w:r>
        <w:r w:rsidR="00C02E8C">
          <w:rPr>
            <w:rFonts w:asciiTheme="minorHAnsi" w:eastAsiaTheme="minorEastAsia" w:hAnsiTheme="minorHAnsi" w:cstheme="minorBidi"/>
            <w:noProof/>
            <w:sz w:val="22"/>
            <w:szCs w:val="22"/>
          </w:rPr>
          <w:tab/>
        </w:r>
        <w:r w:rsidR="00C02E8C" w:rsidRPr="00435FF9">
          <w:rPr>
            <w:rStyle w:val="Hypertextovodkaz"/>
            <w:noProof/>
          </w:rPr>
          <w:t>Působnost předpisu</w:t>
        </w:r>
        <w:r w:rsidR="00C02E8C">
          <w:rPr>
            <w:noProof/>
            <w:webHidden/>
          </w:rPr>
          <w:tab/>
        </w:r>
        <w:r w:rsidR="00C02E8C">
          <w:rPr>
            <w:noProof/>
            <w:webHidden/>
          </w:rPr>
          <w:fldChar w:fldCharType="begin"/>
        </w:r>
        <w:r w:rsidR="00C02E8C">
          <w:rPr>
            <w:noProof/>
            <w:webHidden/>
          </w:rPr>
          <w:instrText xml:space="preserve"> PAGEREF _Toc89762372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317E6D04" w14:textId="77777777" w:rsidR="00C02E8C" w:rsidRDefault="00E05122" w:rsidP="00C02E8C">
      <w:pPr>
        <w:pStyle w:val="Obsah2"/>
        <w:rPr>
          <w:rFonts w:asciiTheme="minorHAnsi" w:eastAsiaTheme="minorEastAsia" w:hAnsiTheme="minorHAnsi" w:cstheme="minorBidi"/>
          <w:noProof/>
          <w:sz w:val="22"/>
          <w:szCs w:val="22"/>
        </w:rPr>
      </w:pPr>
      <w:hyperlink w:anchor="_Toc89762373" w:history="1">
        <w:r w:rsidR="00C02E8C" w:rsidRPr="00435FF9">
          <w:rPr>
            <w:rStyle w:val="Hypertextovodkaz"/>
            <w:noProof/>
          </w:rPr>
          <w:t>1.4</w:t>
        </w:r>
        <w:r w:rsidR="00C02E8C">
          <w:rPr>
            <w:rFonts w:asciiTheme="minorHAnsi" w:eastAsiaTheme="minorEastAsia" w:hAnsiTheme="minorHAnsi" w:cstheme="minorBidi"/>
            <w:noProof/>
            <w:sz w:val="22"/>
            <w:szCs w:val="22"/>
          </w:rPr>
          <w:tab/>
        </w:r>
        <w:r w:rsidR="00C02E8C" w:rsidRPr="00435FF9">
          <w:rPr>
            <w:rStyle w:val="Hypertextovodkaz"/>
            <w:noProof/>
          </w:rPr>
          <w:t>Vlastník předpisu</w:t>
        </w:r>
        <w:r w:rsidR="00C02E8C">
          <w:rPr>
            <w:noProof/>
            <w:webHidden/>
          </w:rPr>
          <w:tab/>
        </w:r>
        <w:r w:rsidR="00C02E8C">
          <w:rPr>
            <w:noProof/>
            <w:webHidden/>
          </w:rPr>
          <w:fldChar w:fldCharType="begin"/>
        </w:r>
        <w:r w:rsidR="00C02E8C">
          <w:rPr>
            <w:noProof/>
            <w:webHidden/>
          </w:rPr>
          <w:instrText xml:space="preserve"> PAGEREF _Toc89762373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5A28FAE8" w14:textId="77777777" w:rsidR="00C02E8C" w:rsidRDefault="00E05122" w:rsidP="00C02E8C">
      <w:pPr>
        <w:pStyle w:val="Obsah2"/>
        <w:rPr>
          <w:rFonts w:asciiTheme="minorHAnsi" w:eastAsiaTheme="minorEastAsia" w:hAnsiTheme="minorHAnsi" w:cstheme="minorBidi"/>
          <w:noProof/>
          <w:sz w:val="22"/>
          <w:szCs w:val="22"/>
        </w:rPr>
      </w:pPr>
      <w:hyperlink w:anchor="_Toc89762374" w:history="1">
        <w:r w:rsidR="00C02E8C" w:rsidRPr="00435FF9">
          <w:rPr>
            <w:rStyle w:val="Hypertextovodkaz"/>
            <w:noProof/>
          </w:rPr>
          <w:t>1.5</w:t>
        </w:r>
        <w:r w:rsidR="00C02E8C">
          <w:rPr>
            <w:rFonts w:asciiTheme="minorHAnsi" w:eastAsiaTheme="minorEastAsia" w:hAnsiTheme="minorHAnsi" w:cstheme="minorBidi"/>
            <w:noProof/>
            <w:sz w:val="22"/>
            <w:szCs w:val="22"/>
          </w:rPr>
          <w:tab/>
        </w:r>
        <w:r w:rsidR="00C02E8C" w:rsidRPr="00435FF9">
          <w:rPr>
            <w:rStyle w:val="Hypertextovodkaz"/>
            <w:noProof/>
          </w:rPr>
          <w:t>Odpovědnosti</w:t>
        </w:r>
        <w:r w:rsidR="00C02E8C">
          <w:rPr>
            <w:noProof/>
            <w:webHidden/>
          </w:rPr>
          <w:tab/>
        </w:r>
        <w:r w:rsidR="00C02E8C">
          <w:rPr>
            <w:noProof/>
            <w:webHidden/>
          </w:rPr>
          <w:fldChar w:fldCharType="begin"/>
        </w:r>
        <w:r w:rsidR="00C02E8C">
          <w:rPr>
            <w:noProof/>
            <w:webHidden/>
          </w:rPr>
          <w:instrText xml:space="preserve"> PAGEREF _Toc89762374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712E88EB" w14:textId="77777777" w:rsidR="00C02E8C" w:rsidRDefault="00E05122" w:rsidP="00C02E8C">
      <w:pPr>
        <w:pStyle w:val="Obsah2"/>
        <w:rPr>
          <w:rFonts w:asciiTheme="minorHAnsi" w:eastAsiaTheme="minorEastAsia" w:hAnsiTheme="minorHAnsi" w:cstheme="minorBidi"/>
          <w:noProof/>
          <w:sz w:val="22"/>
          <w:szCs w:val="22"/>
        </w:rPr>
      </w:pPr>
      <w:hyperlink w:anchor="_Toc89762375" w:history="1">
        <w:r w:rsidR="00C02E8C" w:rsidRPr="00435FF9">
          <w:rPr>
            <w:rStyle w:val="Hypertextovodkaz"/>
            <w:noProof/>
          </w:rPr>
          <w:t>1.6</w:t>
        </w:r>
        <w:r w:rsidR="00C02E8C">
          <w:rPr>
            <w:rFonts w:asciiTheme="minorHAnsi" w:eastAsiaTheme="minorEastAsia" w:hAnsiTheme="minorHAnsi" w:cstheme="minorBidi"/>
            <w:noProof/>
            <w:sz w:val="22"/>
            <w:szCs w:val="22"/>
          </w:rPr>
          <w:tab/>
        </w:r>
        <w:r w:rsidR="00C02E8C" w:rsidRPr="00435FF9">
          <w:rPr>
            <w:rStyle w:val="Hypertextovodkaz"/>
            <w:noProof/>
          </w:rPr>
          <w:t>Definice pojmů a použité zkratky</w:t>
        </w:r>
        <w:r w:rsidR="00C02E8C">
          <w:rPr>
            <w:noProof/>
            <w:webHidden/>
          </w:rPr>
          <w:tab/>
        </w:r>
        <w:r w:rsidR="00C02E8C">
          <w:rPr>
            <w:noProof/>
            <w:webHidden/>
          </w:rPr>
          <w:fldChar w:fldCharType="begin"/>
        </w:r>
        <w:r w:rsidR="00C02E8C">
          <w:rPr>
            <w:noProof/>
            <w:webHidden/>
          </w:rPr>
          <w:instrText xml:space="preserve"> PAGEREF _Toc89762375 \h </w:instrText>
        </w:r>
        <w:r w:rsidR="00C02E8C">
          <w:rPr>
            <w:noProof/>
            <w:webHidden/>
          </w:rPr>
        </w:r>
        <w:r w:rsidR="00C02E8C">
          <w:rPr>
            <w:noProof/>
            <w:webHidden/>
          </w:rPr>
          <w:fldChar w:fldCharType="separate"/>
        </w:r>
        <w:r w:rsidR="00C02E8C">
          <w:rPr>
            <w:noProof/>
            <w:webHidden/>
          </w:rPr>
          <w:t>3</w:t>
        </w:r>
        <w:r w:rsidR="00C02E8C">
          <w:rPr>
            <w:noProof/>
            <w:webHidden/>
          </w:rPr>
          <w:fldChar w:fldCharType="end"/>
        </w:r>
      </w:hyperlink>
    </w:p>
    <w:p w14:paraId="21479C21" w14:textId="77777777" w:rsidR="00C02E8C" w:rsidRDefault="00E05122" w:rsidP="00C02E8C">
      <w:pPr>
        <w:pStyle w:val="Obsah1"/>
        <w:tabs>
          <w:tab w:val="left" w:pos="1416"/>
          <w:tab w:val="right" w:leader="dot" w:pos="9060"/>
        </w:tabs>
        <w:rPr>
          <w:rFonts w:asciiTheme="minorHAnsi" w:eastAsiaTheme="minorEastAsia" w:hAnsiTheme="minorHAnsi" w:cstheme="minorBidi"/>
          <w:b w:val="0"/>
          <w:bCs w:val="0"/>
          <w:noProof/>
          <w:szCs w:val="22"/>
        </w:rPr>
      </w:pPr>
      <w:hyperlink w:anchor="_Toc89762376" w:history="1">
        <w:r w:rsidR="00C02E8C" w:rsidRPr="00435FF9">
          <w:rPr>
            <w:rStyle w:val="Hypertextovodkaz"/>
            <w:noProof/>
          </w:rPr>
          <w:t>2</w:t>
        </w:r>
        <w:r w:rsidR="00C02E8C">
          <w:rPr>
            <w:rFonts w:asciiTheme="minorHAnsi" w:eastAsiaTheme="minorEastAsia" w:hAnsiTheme="minorHAnsi" w:cstheme="minorBidi"/>
            <w:b w:val="0"/>
            <w:bCs w:val="0"/>
            <w:noProof/>
            <w:szCs w:val="22"/>
          </w:rPr>
          <w:tab/>
        </w:r>
        <w:r w:rsidR="00C02E8C" w:rsidRPr="00435FF9">
          <w:rPr>
            <w:rStyle w:val="Hypertextovodkaz"/>
            <w:noProof/>
          </w:rPr>
          <w:t>Správa životního cyklu produktu</w:t>
        </w:r>
        <w:r w:rsidR="00C02E8C">
          <w:rPr>
            <w:noProof/>
            <w:webHidden/>
          </w:rPr>
          <w:tab/>
        </w:r>
        <w:r w:rsidR="00C02E8C">
          <w:rPr>
            <w:noProof/>
            <w:webHidden/>
          </w:rPr>
          <w:fldChar w:fldCharType="begin"/>
        </w:r>
        <w:r w:rsidR="00C02E8C">
          <w:rPr>
            <w:noProof/>
            <w:webHidden/>
          </w:rPr>
          <w:instrText xml:space="preserve"> PAGEREF _Toc89762376 \h </w:instrText>
        </w:r>
        <w:r w:rsidR="00C02E8C">
          <w:rPr>
            <w:noProof/>
            <w:webHidden/>
          </w:rPr>
        </w:r>
        <w:r w:rsidR="00C02E8C">
          <w:rPr>
            <w:noProof/>
            <w:webHidden/>
          </w:rPr>
          <w:fldChar w:fldCharType="separate"/>
        </w:r>
        <w:r w:rsidR="00C02E8C">
          <w:rPr>
            <w:noProof/>
            <w:webHidden/>
          </w:rPr>
          <w:t>4</w:t>
        </w:r>
        <w:r w:rsidR="00C02E8C">
          <w:rPr>
            <w:noProof/>
            <w:webHidden/>
          </w:rPr>
          <w:fldChar w:fldCharType="end"/>
        </w:r>
      </w:hyperlink>
    </w:p>
    <w:p w14:paraId="533D6219" w14:textId="77777777" w:rsidR="00C02E8C" w:rsidRDefault="00E05122" w:rsidP="00C02E8C">
      <w:pPr>
        <w:pStyle w:val="Obsah2"/>
        <w:rPr>
          <w:rFonts w:asciiTheme="minorHAnsi" w:eastAsiaTheme="minorEastAsia" w:hAnsiTheme="minorHAnsi" w:cstheme="minorBidi"/>
          <w:noProof/>
          <w:sz w:val="22"/>
          <w:szCs w:val="22"/>
        </w:rPr>
      </w:pPr>
      <w:hyperlink w:anchor="_Toc89762377" w:history="1">
        <w:r w:rsidR="00C02E8C" w:rsidRPr="00435FF9">
          <w:rPr>
            <w:rStyle w:val="Hypertextovodkaz"/>
            <w:noProof/>
          </w:rPr>
          <w:t>2.1</w:t>
        </w:r>
        <w:r w:rsidR="00C02E8C">
          <w:rPr>
            <w:rFonts w:asciiTheme="minorHAnsi" w:eastAsiaTheme="minorEastAsia" w:hAnsiTheme="minorHAnsi" w:cstheme="minorBidi"/>
            <w:noProof/>
            <w:sz w:val="22"/>
            <w:szCs w:val="22"/>
          </w:rPr>
          <w:tab/>
        </w:r>
        <w:r w:rsidR="00C02E8C" w:rsidRPr="00435FF9">
          <w:rPr>
            <w:rStyle w:val="Hypertextovodkaz"/>
            <w:noProof/>
          </w:rPr>
          <w:t>Role banky při implementaci IN</w:t>
        </w:r>
        <w:r w:rsidR="00C02E8C">
          <w:rPr>
            <w:noProof/>
            <w:webHidden/>
          </w:rPr>
          <w:tab/>
        </w:r>
        <w:r w:rsidR="00C02E8C">
          <w:rPr>
            <w:noProof/>
            <w:webHidden/>
          </w:rPr>
          <w:fldChar w:fldCharType="begin"/>
        </w:r>
        <w:r w:rsidR="00C02E8C">
          <w:rPr>
            <w:noProof/>
            <w:webHidden/>
          </w:rPr>
          <w:instrText xml:space="preserve"> PAGEREF _Toc89762377 \h </w:instrText>
        </w:r>
        <w:r w:rsidR="00C02E8C">
          <w:rPr>
            <w:noProof/>
            <w:webHidden/>
          </w:rPr>
        </w:r>
        <w:r w:rsidR="00C02E8C">
          <w:rPr>
            <w:noProof/>
            <w:webHidden/>
          </w:rPr>
          <w:fldChar w:fldCharType="separate"/>
        </w:r>
        <w:r w:rsidR="00C02E8C">
          <w:rPr>
            <w:noProof/>
            <w:webHidden/>
          </w:rPr>
          <w:t>4</w:t>
        </w:r>
        <w:r w:rsidR="00C02E8C">
          <w:rPr>
            <w:noProof/>
            <w:webHidden/>
          </w:rPr>
          <w:fldChar w:fldCharType="end"/>
        </w:r>
      </w:hyperlink>
    </w:p>
    <w:p w14:paraId="74E93730" w14:textId="77777777" w:rsidR="00C02E8C" w:rsidRDefault="00E05122" w:rsidP="00C02E8C">
      <w:pPr>
        <w:pStyle w:val="Obsah2"/>
        <w:rPr>
          <w:rFonts w:asciiTheme="minorHAnsi" w:eastAsiaTheme="minorEastAsia" w:hAnsiTheme="minorHAnsi" w:cstheme="minorBidi"/>
          <w:noProof/>
          <w:sz w:val="22"/>
          <w:szCs w:val="22"/>
        </w:rPr>
      </w:pPr>
      <w:hyperlink w:anchor="_Toc89762378" w:history="1">
        <w:r w:rsidR="00C02E8C" w:rsidRPr="00435FF9">
          <w:rPr>
            <w:rStyle w:val="Hypertextovodkaz"/>
            <w:noProof/>
          </w:rPr>
          <w:t>2.2</w:t>
        </w:r>
        <w:r w:rsidR="00C02E8C">
          <w:rPr>
            <w:rFonts w:asciiTheme="minorHAnsi" w:eastAsiaTheme="minorEastAsia" w:hAnsiTheme="minorHAnsi" w:cstheme="minorBidi"/>
            <w:noProof/>
            <w:sz w:val="22"/>
            <w:szCs w:val="22"/>
          </w:rPr>
          <w:tab/>
        </w:r>
        <w:r w:rsidR="00C02E8C" w:rsidRPr="00435FF9">
          <w:rPr>
            <w:rStyle w:val="Hypertextovodkaz"/>
            <w:noProof/>
          </w:rPr>
          <w:t>Podnět na implementaci IN</w:t>
        </w:r>
        <w:r w:rsidR="00C02E8C">
          <w:rPr>
            <w:noProof/>
            <w:webHidden/>
          </w:rPr>
          <w:tab/>
        </w:r>
        <w:r w:rsidR="00C02E8C">
          <w:rPr>
            <w:noProof/>
            <w:webHidden/>
          </w:rPr>
          <w:fldChar w:fldCharType="begin"/>
        </w:r>
        <w:r w:rsidR="00C02E8C">
          <w:rPr>
            <w:noProof/>
            <w:webHidden/>
          </w:rPr>
          <w:instrText xml:space="preserve"> PAGEREF _Toc89762378 \h </w:instrText>
        </w:r>
        <w:r w:rsidR="00C02E8C">
          <w:rPr>
            <w:noProof/>
            <w:webHidden/>
          </w:rPr>
        </w:r>
        <w:r w:rsidR="00C02E8C">
          <w:rPr>
            <w:noProof/>
            <w:webHidden/>
          </w:rPr>
          <w:fldChar w:fldCharType="separate"/>
        </w:r>
        <w:r w:rsidR="00C02E8C">
          <w:rPr>
            <w:noProof/>
            <w:webHidden/>
          </w:rPr>
          <w:t>4</w:t>
        </w:r>
        <w:r w:rsidR="00C02E8C">
          <w:rPr>
            <w:noProof/>
            <w:webHidden/>
          </w:rPr>
          <w:fldChar w:fldCharType="end"/>
        </w:r>
      </w:hyperlink>
    </w:p>
    <w:p w14:paraId="31F73209" w14:textId="77777777" w:rsidR="00C02E8C" w:rsidRDefault="00E05122" w:rsidP="00C02E8C">
      <w:pPr>
        <w:pStyle w:val="Obsah2"/>
        <w:rPr>
          <w:rFonts w:asciiTheme="minorHAnsi" w:eastAsiaTheme="minorEastAsia" w:hAnsiTheme="minorHAnsi" w:cstheme="minorBidi"/>
          <w:noProof/>
          <w:sz w:val="22"/>
          <w:szCs w:val="22"/>
        </w:rPr>
      </w:pPr>
      <w:hyperlink w:anchor="_Toc89762379" w:history="1">
        <w:r w:rsidR="00C02E8C" w:rsidRPr="00435FF9">
          <w:rPr>
            <w:rStyle w:val="Hypertextovodkaz"/>
            <w:noProof/>
          </w:rPr>
          <w:t>2.3</w:t>
        </w:r>
        <w:r w:rsidR="00C02E8C">
          <w:rPr>
            <w:rFonts w:asciiTheme="minorHAnsi" w:eastAsiaTheme="minorEastAsia" w:hAnsiTheme="minorHAnsi" w:cstheme="minorBidi"/>
            <w:noProof/>
            <w:sz w:val="22"/>
            <w:szCs w:val="22"/>
          </w:rPr>
          <w:tab/>
        </w:r>
        <w:r w:rsidR="00C02E8C" w:rsidRPr="00435FF9">
          <w:rPr>
            <w:rStyle w:val="Hypertextovodkaz"/>
            <w:noProof/>
          </w:rPr>
          <w:t>Návrh na implementaci IN do Banky - režimy schvalování produktových záměrů</w:t>
        </w:r>
        <w:r w:rsidR="00C02E8C">
          <w:rPr>
            <w:noProof/>
            <w:webHidden/>
          </w:rPr>
          <w:tab/>
        </w:r>
        <w:r w:rsidR="00C02E8C">
          <w:rPr>
            <w:noProof/>
            <w:webHidden/>
          </w:rPr>
          <w:fldChar w:fldCharType="begin"/>
        </w:r>
        <w:r w:rsidR="00C02E8C">
          <w:rPr>
            <w:noProof/>
            <w:webHidden/>
          </w:rPr>
          <w:instrText xml:space="preserve"> PAGEREF _Toc89762379 \h </w:instrText>
        </w:r>
        <w:r w:rsidR="00C02E8C">
          <w:rPr>
            <w:noProof/>
            <w:webHidden/>
          </w:rPr>
        </w:r>
        <w:r w:rsidR="00C02E8C">
          <w:rPr>
            <w:noProof/>
            <w:webHidden/>
          </w:rPr>
          <w:fldChar w:fldCharType="separate"/>
        </w:r>
        <w:r w:rsidR="00C02E8C">
          <w:rPr>
            <w:noProof/>
            <w:webHidden/>
          </w:rPr>
          <w:t>5</w:t>
        </w:r>
        <w:r w:rsidR="00C02E8C">
          <w:rPr>
            <w:noProof/>
            <w:webHidden/>
          </w:rPr>
          <w:fldChar w:fldCharType="end"/>
        </w:r>
      </w:hyperlink>
    </w:p>
    <w:p w14:paraId="73475803" w14:textId="77777777" w:rsidR="00C02E8C" w:rsidRDefault="00E05122" w:rsidP="00C02E8C">
      <w:pPr>
        <w:pStyle w:val="Obsah2"/>
        <w:rPr>
          <w:rFonts w:asciiTheme="minorHAnsi" w:eastAsiaTheme="minorEastAsia" w:hAnsiTheme="minorHAnsi" w:cstheme="minorBidi"/>
          <w:noProof/>
          <w:sz w:val="22"/>
          <w:szCs w:val="22"/>
        </w:rPr>
      </w:pPr>
      <w:hyperlink w:anchor="_Toc89762380" w:history="1">
        <w:r w:rsidR="00C02E8C" w:rsidRPr="00435FF9">
          <w:rPr>
            <w:rStyle w:val="Hypertextovodkaz"/>
            <w:noProof/>
          </w:rPr>
          <w:t>2.4</w:t>
        </w:r>
        <w:r w:rsidR="00C02E8C">
          <w:rPr>
            <w:rFonts w:asciiTheme="minorHAnsi" w:eastAsiaTheme="minorEastAsia" w:hAnsiTheme="minorHAnsi" w:cstheme="minorBidi"/>
            <w:noProof/>
            <w:sz w:val="22"/>
            <w:szCs w:val="22"/>
          </w:rPr>
          <w:tab/>
        </w:r>
        <w:r w:rsidR="00C02E8C" w:rsidRPr="00435FF9">
          <w:rPr>
            <w:rStyle w:val="Hypertextovodkaz"/>
            <w:noProof/>
          </w:rPr>
          <w:t>Tvorba a implementace schváleného Produktového záměru</w:t>
        </w:r>
        <w:r w:rsidR="00C02E8C">
          <w:rPr>
            <w:noProof/>
            <w:webHidden/>
          </w:rPr>
          <w:tab/>
        </w:r>
        <w:r w:rsidR="00C02E8C">
          <w:rPr>
            <w:noProof/>
            <w:webHidden/>
          </w:rPr>
          <w:fldChar w:fldCharType="begin"/>
        </w:r>
        <w:r w:rsidR="00C02E8C">
          <w:rPr>
            <w:noProof/>
            <w:webHidden/>
          </w:rPr>
          <w:instrText xml:space="preserve"> PAGEREF _Toc89762380 \h </w:instrText>
        </w:r>
        <w:r w:rsidR="00C02E8C">
          <w:rPr>
            <w:noProof/>
            <w:webHidden/>
          </w:rPr>
        </w:r>
        <w:r w:rsidR="00C02E8C">
          <w:rPr>
            <w:noProof/>
            <w:webHidden/>
          </w:rPr>
          <w:fldChar w:fldCharType="separate"/>
        </w:r>
        <w:r w:rsidR="00C02E8C">
          <w:rPr>
            <w:noProof/>
            <w:webHidden/>
          </w:rPr>
          <w:t>7</w:t>
        </w:r>
        <w:r w:rsidR="00C02E8C">
          <w:rPr>
            <w:noProof/>
            <w:webHidden/>
          </w:rPr>
          <w:fldChar w:fldCharType="end"/>
        </w:r>
      </w:hyperlink>
    </w:p>
    <w:p w14:paraId="130855A4" w14:textId="77777777" w:rsidR="00C02E8C" w:rsidRDefault="00E05122" w:rsidP="00C02E8C">
      <w:pPr>
        <w:pStyle w:val="Obsah2"/>
        <w:rPr>
          <w:rFonts w:asciiTheme="minorHAnsi" w:eastAsiaTheme="minorEastAsia" w:hAnsiTheme="minorHAnsi" w:cstheme="minorBidi"/>
          <w:noProof/>
          <w:sz w:val="22"/>
          <w:szCs w:val="22"/>
        </w:rPr>
      </w:pPr>
      <w:hyperlink w:anchor="_Toc89762381" w:history="1">
        <w:r w:rsidR="00C02E8C" w:rsidRPr="00435FF9">
          <w:rPr>
            <w:rStyle w:val="Hypertextovodkaz"/>
            <w:noProof/>
          </w:rPr>
          <w:t>2.5</w:t>
        </w:r>
        <w:r w:rsidR="00C02E8C">
          <w:rPr>
            <w:rFonts w:asciiTheme="minorHAnsi" w:eastAsiaTheme="minorEastAsia" w:hAnsiTheme="minorHAnsi" w:cstheme="minorBidi"/>
            <w:noProof/>
            <w:sz w:val="22"/>
            <w:szCs w:val="22"/>
          </w:rPr>
          <w:tab/>
        </w:r>
        <w:r w:rsidR="00C02E8C" w:rsidRPr="00435FF9">
          <w:rPr>
            <w:rStyle w:val="Hypertextovodkaz"/>
            <w:noProof/>
          </w:rPr>
          <w:t>Schválení IN k distribuci VIN</w:t>
        </w:r>
        <w:r w:rsidR="00C02E8C">
          <w:rPr>
            <w:noProof/>
            <w:webHidden/>
          </w:rPr>
          <w:tab/>
        </w:r>
        <w:r w:rsidR="00C02E8C">
          <w:rPr>
            <w:noProof/>
            <w:webHidden/>
          </w:rPr>
          <w:fldChar w:fldCharType="begin"/>
        </w:r>
        <w:r w:rsidR="00C02E8C">
          <w:rPr>
            <w:noProof/>
            <w:webHidden/>
          </w:rPr>
          <w:instrText xml:space="preserve"> PAGEREF _Toc89762381 \h </w:instrText>
        </w:r>
        <w:r w:rsidR="00C02E8C">
          <w:rPr>
            <w:noProof/>
            <w:webHidden/>
          </w:rPr>
        </w:r>
        <w:r w:rsidR="00C02E8C">
          <w:rPr>
            <w:noProof/>
            <w:webHidden/>
          </w:rPr>
          <w:fldChar w:fldCharType="separate"/>
        </w:r>
        <w:r w:rsidR="00C02E8C">
          <w:rPr>
            <w:noProof/>
            <w:webHidden/>
          </w:rPr>
          <w:t>11</w:t>
        </w:r>
        <w:r w:rsidR="00C02E8C">
          <w:rPr>
            <w:noProof/>
            <w:webHidden/>
          </w:rPr>
          <w:fldChar w:fldCharType="end"/>
        </w:r>
      </w:hyperlink>
    </w:p>
    <w:p w14:paraId="41CA3371" w14:textId="77777777" w:rsidR="00C02E8C" w:rsidRDefault="00E05122" w:rsidP="00C02E8C">
      <w:pPr>
        <w:pStyle w:val="Obsah2"/>
        <w:rPr>
          <w:rFonts w:asciiTheme="minorHAnsi" w:eastAsiaTheme="minorEastAsia" w:hAnsiTheme="minorHAnsi" w:cstheme="minorBidi"/>
          <w:noProof/>
          <w:sz w:val="22"/>
          <w:szCs w:val="22"/>
        </w:rPr>
      </w:pPr>
      <w:hyperlink w:anchor="_Toc89762382" w:history="1">
        <w:r w:rsidR="00C02E8C" w:rsidRPr="00435FF9">
          <w:rPr>
            <w:rStyle w:val="Hypertextovodkaz"/>
            <w:noProof/>
          </w:rPr>
          <w:t>2.6</w:t>
        </w:r>
        <w:r w:rsidR="00C02E8C">
          <w:rPr>
            <w:rFonts w:asciiTheme="minorHAnsi" w:eastAsiaTheme="minorEastAsia" w:hAnsiTheme="minorHAnsi" w:cstheme="minorBidi"/>
            <w:noProof/>
            <w:sz w:val="22"/>
            <w:szCs w:val="22"/>
          </w:rPr>
          <w:tab/>
        </w:r>
        <w:r w:rsidR="00C02E8C" w:rsidRPr="00435FF9">
          <w:rPr>
            <w:rStyle w:val="Hypertextovodkaz"/>
            <w:noProof/>
          </w:rPr>
          <w:t>Distribuce nově implementovaného IN</w:t>
        </w:r>
        <w:r w:rsidR="00C02E8C">
          <w:rPr>
            <w:noProof/>
            <w:webHidden/>
          </w:rPr>
          <w:tab/>
        </w:r>
        <w:r w:rsidR="00C02E8C">
          <w:rPr>
            <w:noProof/>
            <w:webHidden/>
          </w:rPr>
          <w:fldChar w:fldCharType="begin"/>
        </w:r>
        <w:r w:rsidR="00C02E8C">
          <w:rPr>
            <w:noProof/>
            <w:webHidden/>
          </w:rPr>
          <w:instrText xml:space="preserve"> PAGEREF _Toc89762382 \h </w:instrText>
        </w:r>
        <w:r w:rsidR="00C02E8C">
          <w:rPr>
            <w:noProof/>
            <w:webHidden/>
          </w:rPr>
        </w:r>
        <w:r w:rsidR="00C02E8C">
          <w:rPr>
            <w:noProof/>
            <w:webHidden/>
          </w:rPr>
          <w:fldChar w:fldCharType="separate"/>
        </w:r>
        <w:r w:rsidR="00C02E8C">
          <w:rPr>
            <w:noProof/>
            <w:webHidden/>
          </w:rPr>
          <w:t>11</w:t>
        </w:r>
        <w:r w:rsidR="00C02E8C">
          <w:rPr>
            <w:noProof/>
            <w:webHidden/>
          </w:rPr>
          <w:fldChar w:fldCharType="end"/>
        </w:r>
      </w:hyperlink>
    </w:p>
    <w:p w14:paraId="05245F1B" w14:textId="77777777" w:rsidR="00C02E8C" w:rsidRDefault="00E05122" w:rsidP="00C02E8C">
      <w:pPr>
        <w:pStyle w:val="Obsah2"/>
        <w:rPr>
          <w:rFonts w:asciiTheme="minorHAnsi" w:eastAsiaTheme="minorEastAsia" w:hAnsiTheme="minorHAnsi" w:cstheme="minorBidi"/>
          <w:noProof/>
          <w:sz w:val="22"/>
          <w:szCs w:val="22"/>
        </w:rPr>
      </w:pPr>
      <w:hyperlink w:anchor="_Toc89762383" w:history="1">
        <w:r w:rsidR="00C02E8C" w:rsidRPr="00435FF9">
          <w:rPr>
            <w:rStyle w:val="Hypertextovodkaz"/>
            <w:noProof/>
          </w:rPr>
          <w:t>2.7</w:t>
        </w:r>
        <w:r w:rsidR="00C02E8C">
          <w:rPr>
            <w:rFonts w:asciiTheme="minorHAnsi" w:eastAsiaTheme="minorEastAsia" w:hAnsiTheme="minorHAnsi" w:cstheme="minorBidi"/>
            <w:noProof/>
            <w:sz w:val="22"/>
            <w:szCs w:val="22"/>
          </w:rPr>
          <w:tab/>
        </w:r>
        <w:r w:rsidR="00C02E8C" w:rsidRPr="00435FF9">
          <w:rPr>
            <w:rStyle w:val="Hypertextovodkaz"/>
            <w:noProof/>
          </w:rPr>
          <w:t>Monitoring a reporting v souvislosti s tvorbou, implementací a distribucí IN</w:t>
        </w:r>
        <w:r w:rsidR="00C02E8C">
          <w:rPr>
            <w:noProof/>
            <w:webHidden/>
          </w:rPr>
          <w:tab/>
        </w:r>
        <w:r w:rsidR="00C02E8C">
          <w:rPr>
            <w:noProof/>
            <w:webHidden/>
          </w:rPr>
          <w:fldChar w:fldCharType="begin"/>
        </w:r>
        <w:r w:rsidR="00C02E8C">
          <w:rPr>
            <w:noProof/>
            <w:webHidden/>
          </w:rPr>
          <w:instrText xml:space="preserve"> PAGEREF _Toc89762383 \h </w:instrText>
        </w:r>
        <w:r w:rsidR="00C02E8C">
          <w:rPr>
            <w:noProof/>
            <w:webHidden/>
          </w:rPr>
        </w:r>
        <w:r w:rsidR="00C02E8C">
          <w:rPr>
            <w:noProof/>
            <w:webHidden/>
          </w:rPr>
          <w:fldChar w:fldCharType="separate"/>
        </w:r>
        <w:r w:rsidR="00C02E8C">
          <w:rPr>
            <w:noProof/>
            <w:webHidden/>
          </w:rPr>
          <w:t>12</w:t>
        </w:r>
        <w:r w:rsidR="00C02E8C">
          <w:rPr>
            <w:noProof/>
            <w:webHidden/>
          </w:rPr>
          <w:fldChar w:fldCharType="end"/>
        </w:r>
      </w:hyperlink>
    </w:p>
    <w:p w14:paraId="5F61353F" w14:textId="77777777" w:rsidR="00C02E8C" w:rsidRDefault="00E05122" w:rsidP="00C02E8C">
      <w:pPr>
        <w:pStyle w:val="Obsah2"/>
        <w:rPr>
          <w:rFonts w:asciiTheme="minorHAnsi" w:eastAsiaTheme="minorEastAsia" w:hAnsiTheme="minorHAnsi" w:cstheme="minorBidi"/>
          <w:noProof/>
          <w:sz w:val="22"/>
          <w:szCs w:val="22"/>
        </w:rPr>
      </w:pPr>
      <w:hyperlink w:anchor="_Toc89762384" w:history="1">
        <w:r w:rsidR="00C02E8C" w:rsidRPr="00435FF9">
          <w:rPr>
            <w:rStyle w:val="Hypertextovodkaz"/>
            <w:noProof/>
          </w:rPr>
          <w:t>2.8</w:t>
        </w:r>
        <w:r w:rsidR="00C02E8C">
          <w:rPr>
            <w:rFonts w:asciiTheme="minorHAnsi" w:eastAsiaTheme="minorEastAsia" w:hAnsiTheme="minorHAnsi" w:cstheme="minorBidi"/>
            <w:noProof/>
            <w:sz w:val="22"/>
            <w:szCs w:val="22"/>
          </w:rPr>
          <w:tab/>
        </w:r>
        <w:r w:rsidR="00C02E8C" w:rsidRPr="00435FF9">
          <w:rPr>
            <w:rStyle w:val="Hypertextovodkaz"/>
            <w:noProof/>
          </w:rPr>
          <w:t>Stažení produktu z aktivní nabídky</w:t>
        </w:r>
        <w:r w:rsidR="00C02E8C">
          <w:rPr>
            <w:noProof/>
            <w:webHidden/>
          </w:rPr>
          <w:tab/>
        </w:r>
        <w:r w:rsidR="00C02E8C">
          <w:rPr>
            <w:noProof/>
            <w:webHidden/>
          </w:rPr>
          <w:fldChar w:fldCharType="begin"/>
        </w:r>
        <w:r w:rsidR="00C02E8C">
          <w:rPr>
            <w:noProof/>
            <w:webHidden/>
          </w:rPr>
          <w:instrText xml:space="preserve"> PAGEREF _Toc89762384 \h </w:instrText>
        </w:r>
        <w:r w:rsidR="00C02E8C">
          <w:rPr>
            <w:noProof/>
            <w:webHidden/>
          </w:rPr>
        </w:r>
        <w:r w:rsidR="00C02E8C">
          <w:rPr>
            <w:noProof/>
            <w:webHidden/>
          </w:rPr>
          <w:fldChar w:fldCharType="separate"/>
        </w:r>
        <w:r w:rsidR="00C02E8C">
          <w:rPr>
            <w:noProof/>
            <w:webHidden/>
          </w:rPr>
          <w:t>12</w:t>
        </w:r>
        <w:r w:rsidR="00C02E8C">
          <w:rPr>
            <w:noProof/>
            <w:webHidden/>
          </w:rPr>
          <w:fldChar w:fldCharType="end"/>
        </w:r>
      </w:hyperlink>
    </w:p>
    <w:p w14:paraId="2F4492B2" w14:textId="77777777" w:rsidR="00C02E8C" w:rsidRDefault="00E05122" w:rsidP="00C02E8C">
      <w:pPr>
        <w:pStyle w:val="Obsah2"/>
        <w:rPr>
          <w:rFonts w:asciiTheme="minorHAnsi" w:eastAsiaTheme="minorEastAsia" w:hAnsiTheme="minorHAnsi" w:cstheme="minorBidi"/>
          <w:noProof/>
          <w:sz w:val="22"/>
          <w:szCs w:val="22"/>
        </w:rPr>
      </w:pPr>
      <w:hyperlink w:anchor="_Toc89762385" w:history="1">
        <w:r w:rsidR="00C02E8C" w:rsidRPr="00435FF9">
          <w:rPr>
            <w:rStyle w:val="Hypertextovodkaz"/>
            <w:noProof/>
          </w:rPr>
          <w:t>2.9</w:t>
        </w:r>
        <w:r w:rsidR="00C02E8C">
          <w:rPr>
            <w:rFonts w:asciiTheme="minorHAnsi" w:eastAsiaTheme="minorEastAsia" w:hAnsiTheme="minorHAnsi" w:cstheme="minorBidi"/>
            <w:noProof/>
            <w:sz w:val="22"/>
            <w:szCs w:val="22"/>
          </w:rPr>
          <w:tab/>
        </w:r>
        <w:r w:rsidR="00C02E8C" w:rsidRPr="00435FF9">
          <w:rPr>
            <w:rStyle w:val="Hypertextovodkaz"/>
            <w:noProof/>
          </w:rPr>
          <w:t>Seznam IN Banky</w:t>
        </w:r>
        <w:r w:rsidR="00C02E8C">
          <w:rPr>
            <w:noProof/>
            <w:webHidden/>
          </w:rPr>
          <w:tab/>
        </w:r>
        <w:r w:rsidR="00C02E8C">
          <w:rPr>
            <w:noProof/>
            <w:webHidden/>
          </w:rPr>
          <w:fldChar w:fldCharType="begin"/>
        </w:r>
        <w:r w:rsidR="00C02E8C">
          <w:rPr>
            <w:noProof/>
            <w:webHidden/>
          </w:rPr>
          <w:instrText xml:space="preserve"> PAGEREF _Toc89762385 \h </w:instrText>
        </w:r>
        <w:r w:rsidR="00C02E8C">
          <w:rPr>
            <w:noProof/>
            <w:webHidden/>
          </w:rPr>
        </w:r>
        <w:r w:rsidR="00C02E8C">
          <w:rPr>
            <w:noProof/>
            <w:webHidden/>
          </w:rPr>
          <w:fldChar w:fldCharType="separate"/>
        </w:r>
        <w:r w:rsidR="00C02E8C">
          <w:rPr>
            <w:noProof/>
            <w:webHidden/>
          </w:rPr>
          <w:t>13</w:t>
        </w:r>
        <w:r w:rsidR="00C02E8C">
          <w:rPr>
            <w:noProof/>
            <w:webHidden/>
          </w:rPr>
          <w:fldChar w:fldCharType="end"/>
        </w:r>
      </w:hyperlink>
    </w:p>
    <w:p w14:paraId="74BC8436" w14:textId="77777777" w:rsidR="00C02E8C" w:rsidRDefault="00E05122" w:rsidP="00C02E8C">
      <w:pPr>
        <w:pStyle w:val="Obsah2"/>
        <w:rPr>
          <w:rFonts w:asciiTheme="minorHAnsi" w:eastAsiaTheme="minorEastAsia" w:hAnsiTheme="minorHAnsi" w:cstheme="minorBidi"/>
          <w:noProof/>
          <w:sz w:val="22"/>
          <w:szCs w:val="22"/>
        </w:rPr>
      </w:pPr>
      <w:hyperlink w:anchor="_Toc89762386" w:history="1">
        <w:r w:rsidR="00C02E8C" w:rsidRPr="00435FF9">
          <w:rPr>
            <w:rStyle w:val="Hypertextovodkaz"/>
            <w:noProof/>
          </w:rPr>
          <w:t>2.10</w:t>
        </w:r>
        <w:r w:rsidR="00C02E8C">
          <w:rPr>
            <w:rFonts w:asciiTheme="minorHAnsi" w:eastAsiaTheme="minorEastAsia" w:hAnsiTheme="minorHAnsi" w:cstheme="minorBidi"/>
            <w:noProof/>
            <w:sz w:val="22"/>
            <w:szCs w:val="22"/>
          </w:rPr>
          <w:tab/>
        </w:r>
        <w:r w:rsidR="00C02E8C" w:rsidRPr="00435FF9">
          <w:rPr>
            <w:rStyle w:val="Hypertextovodkaz"/>
            <w:noProof/>
          </w:rPr>
          <w:t>Kontrolní mechanismy</w:t>
        </w:r>
        <w:r w:rsidR="00C02E8C">
          <w:rPr>
            <w:noProof/>
            <w:webHidden/>
          </w:rPr>
          <w:tab/>
        </w:r>
        <w:r w:rsidR="00C02E8C">
          <w:rPr>
            <w:noProof/>
            <w:webHidden/>
          </w:rPr>
          <w:fldChar w:fldCharType="begin"/>
        </w:r>
        <w:r w:rsidR="00C02E8C">
          <w:rPr>
            <w:noProof/>
            <w:webHidden/>
          </w:rPr>
          <w:instrText xml:space="preserve"> PAGEREF _Toc89762386 \h </w:instrText>
        </w:r>
        <w:r w:rsidR="00C02E8C">
          <w:rPr>
            <w:noProof/>
            <w:webHidden/>
          </w:rPr>
        </w:r>
        <w:r w:rsidR="00C02E8C">
          <w:rPr>
            <w:noProof/>
            <w:webHidden/>
          </w:rPr>
          <w:fldChar w:fldCharType="separate"/>
        </w:r>
        <w:r w:rsidR="00C02E8C">
          <w:rPr>
            <w:noProof/>
            <w:webHidden/>
          </w:rPr>
          <w:t>13</w:t>
        </w:r>
        <w:r w:rsidR="00C02E8C">
          <w:rPr>
            <w:noProof/>
            <w:webHidden/>
          </w:rPr>
          <w:fldChar w:fldCharType="end"/>
        </w:r>
      </w:hyperlink>
    </w:p>
    <w:p w14:paraId="7F290BBE" w14:textId="77777777" w:rsidR="00C02E8C" w:rsidRDefault="00E05122" w:rsidP="00C02E8C">
      <w:pPr>
        <w:pStyle w:val="Obsah1"/>
        <w:tabs>
          <w:tab w:val="left" w:pos="1416"/>
          <w:tab w:val="right" w:leader="dot" w:pos="9060"/>
        </w:tabs>
        <w:rPr>
          <w:rFonts w:asciiTheme="minorHAnsi" w:eastAsiaTheme="minorEastAsia" w:hAnsiTheme="minorHAnsi" w:cstheme="minorBidi"/>
          <w:b w:val="0"/>
          <w:bCs w:val="0"/>
          <w:noProof/>
          <w:szCs w:val="22"/>
        </w:rPr>
      </w:pPr>
      <w:hyperlink w:anchor="_Toc89762387" w:history="1">
        <w:r w:rsidR="00C02E8C" w:rsidRPr="00435FF9">
          <w:rPr>
            <w:rStyle w:val="Hypertextovodkaz"/>
            <w:noProof/>
          </w:rPr>
          <w:t>3</w:t>
        </w:r>
        <w:r w:rsidR="00C02E8C">
          <w:rPr>
            <w:rFonts w:asciiTheme="minorHAnsi" w:eastAsiaTheme="minorEastAsia" w:hAnsiTheme="minorHAnsi" w:cstheme="minorBidi"/>
            <w:b w:val="0"/>
            <w:bCs w:val="0"/>
            <w:noProof/>
            <w:szCs w:val="22"/>
          </w:rPr>
          <w:tab/>
        </w:r>
        <w:r w:rsidR="00C02E8C" w:rsidRPr="00435FF9">
          <w:rPr>
            <w:rStyle w:val="Hypertextovodkaz"/>
            <w:noProof/>
          </w:rPr>
          <w:t>Závěrečná ustanovení</w:t>
        </w:r>
        <w:r w:rsidR="00C02E8C">
          <w:rPr>
            <w:noProof/>
            <w:webHidden/>
          </w:rPr>
          <w:tab/>
        </w:r>
        <w:r w:rsidR="00C02E8C">
          <w:rPr>
            <w:noProof/>
            <w:webHidden/>
          </w:rPr>
          <w:fldChar w:fldCharType="begin"/>
        </w:r>
        <w:r w:rsidR="00C02E8C">
          <w:rPr>
            <w:noProof/>
            <w:webHidden/>
          </w:rPr>
          <w:instrText xml:space="preserve"> PAGEREF _Toc89762387 \h </w:instrText>
        </w:r>
        <w:r w:rsidR="00C02E8C">
          <w:rPr>
            <w:noProof/>
            <w:webHidden/>
          </w:rPr>
        </w:r>
        <w:r w:rsidR="00C02E8C">
          <w:rPr>
            <w:noProof/>
            <w:webHidden/>
          </w:rPr>
          <w:fldChar w:fldCharType="separate"/>
        </w:r>
        <w:r w:rsidR="00C02E8C">
          <w:rPr>
            <w:noProof/>
            <w:webHidden/>
          </w:rPr>
          <w:t>13</w:t>
        </w:r>
        <w:r w:rsidR="00C02E8C">
          <w:rPr>
            <w:noProof/>
            <w:webHidden/>
          </w:rPr>
          <w:fldChar w:fldCharType="end"/>
        </w:r>
      </w:hyperlink>
    </w:p>
    <w:p w14:paraId="64B4693D" w14:textId="77777777" w:rsidR="00C02E8C" w:rsidRDefault="00E05122" w:rsidP="00C02E8C">
      <w:pPr>
        <w:pStyle w:val="Obsah2"/>
        <w:rPr>
          <w:rFonts w:asciiTheme="minorHAnsi" w:eastAsiaTheme="minorEastAsia" w:hAnsiTheme="minorHAnsi" w:cstheme="minorBidi"/>
          <w:noProof/>
          <w:sz w:val="22"/>
          <w:szCs w:val="22"/>
        </w:rPr>
      </w:pPr>
      <w:hyperlink w:anchor="_Toc89762388" w:history="1">
        <w:r w:rsidR="00C02E8C" w:rsidRPr="00435FF9">
          <w:rPr>
            <w:rStyle w:val="Hypertextovodkaz"/>
            <w:noProof/>
          </w:rPr>
          <w:t>3.1</w:t>
        </w:r>
        <w:r w:rsidR="00C02E8C">
          <w:rPr>
            <w:rFonts w:asciiTheme="minorHAnsi" w:eastAsiaTheme="minorEastAsia" w:hAnsiTheme="minorHAnsi" w:cstheme="minorBidi"/>
            <w:noProof/>
            <w:sz w:val="22"/>
            <w:szCs w:val="22"/>
          </w:rPr>
          <w:tab/>
        </w:r>
        <w:r w:rsidR="00C02E8C" w:rsidRPr="00435FF9">
          <w:rPr>
            <w:rStyle w:val="Hypertextovodkaz"/>
            <w:noProof/>
          </w:rPr>
          <w:t>Související právní předpisy</w:t>
        </w:r>
        <w:r w:rsidR="00C02E8C">
          <w:rPr>
            <w:noProof/>
            <w:webHidden/>
          </w:rPr>
          <w:tab/>
        </w:r>
        <w:r w:rsidR="00C02E8C">
          <w:rPr>
            <w:noProof/>
            <w:webHidden/>
          </w:rPr>
          <w:fldChar w:fldCharType="begin"/>
        </w:r>
        <w:r w:rsidR="00C02E8C">
          <w:rPr>
            <w:noProof/>
            <w:webHidden/>
          </w:rPr>
          <w:instrText xml:space="preserve"> PAGEREF _Toc89762388 \h </w:instrText>
        </w:r>
        <w:r w:rsidR="00C02E8C">
          <w:rPr>
            <w:noProof/>
            <w:webHidden/>
          </w:rPr>
        </w:r>
        <w:r w:rsidR="00C02E8C">
          <w:rPr>
            <w:noProof/>
            <w:webHidden/>
          </w:rPr>
          <w:fldChar w:fldCharType="separate"/>
        </w:r>
        <w:r w:rsidR="00C02E8C">
          <w:rPr>
            <w:noProof/>
            <w:webHidden/>
          </w:rPr>
          <w:t>13</w:t>
        </w:r>
        <w:r w:rsidR="00C02E8C">
          <w:rPr>
            <w:noProof/>
            <w:webHidden/>
          </w:rPr>
          <w:fldChar w:fldCharType="end"/>
        </w:r>
      </w:hyperlink>
    </w:p>
    <w:p w14:paraId="783634AE" w14:textId="77777777" w:rsidR="00C02E8C" w:rsidRDefault="00E05122" w:rsidP="00C02E8C">
      <w:pPr>
        <w:pStyle w:val="Obsah2"/>
        <w:rPr>
          <w:rFonts w:asciiTheme="minorHAnsi" w:eastAsiaTheme="minorEastAsia" w:hAnsiTheme="minorHAnsi" w:cstheme="minorBidi"/>
          <w:noProof/>
          <w:sz w:val="22"/>
          <w:szCs w:val="22"/>
        </w:rPr>
      </w:pPr>
      <w:hyperlink w:anchor="_Toc89762389" w:history="1">
        <w:r w:rsidR="00C02E8C" w:rsidRPr="00435FF9">
          <w:rPr>
            <w:rStyle w:val="Hypertextovodkaz"/>
            <w:noProof/>
          </w:rPr>
          <w:t>3.2</w:t>
        </w:r>
        <w:r w:rsidR="00C02E8C">
          <w:rPr>
            <w:rFonts w:asciiTheme="minorHAnsi" w:eastAsiaTheme="minorEastAsia" w:hAnsiTheme="minorHAnsi" w:cstheme="minorBidi"/>
            <w:noProof/>
            <w:sz w:val="22"/>
            <w:szCs w:val="22"/>
          </w:rPr>
          <w:tab/>
        </w:r>
        <w:r w:rsidR="00C02E8C" w:rsidRPr="00435FF9">
          <w:rPr>
            <w:rStyle w:val="Hypertextovodkaz"/>
            <w:noProof/>
          </w:rPr>
          <w:t>Související vnitřní předpisy a metodiky</w:t>
        </w:r>
        <w:r w:rsidR="00C02E8C">
          <w:rPr>
            <w:noProof/>
            <w:webHidden/>
          </w:rPr>
          <w:tab/>
        </w:r>
        <w:r w:rsidR="00C02E8C">
          <w:rPr>
            <w:noProof/>
            <w:webHidden/>
          </w:rPr>
          <w:fldChar w:fldCharType="begin"/>
        </w:r>
        <w:r w:rsidR="00C02E8C">
          <w:rPr>
            <w:noProof/>
            <w:webHidden/>
          </w:rPr>
          <w:instrText xml:space="preserve"> PAGEREF _Toc89762389 \h </w:instrText>
        </w:r>
        <w:r w:rsidR="00C02E8C">
          <w:rPr>
            <w:noProof/>
            <w:webHidden/>
          </w:rPr>
        </w:r>
        <w:r w:rsidR="00C02E8C">
          <w:rPr>
            <w:noProof/>
            <w:webHidden/>
          </w:rPr>
          <w:fldChar w:fldCharType="separate"/>
        </w:r>
        <w:r w:rsidR="00C02E8C">
          <w:rPr>
            <w:noProof/>
            <w:webHidden/>
          </w:rPr>
          <w:t>14</w:t>
        </w:r>
        <w:r w:rsidR="00C02E8C">
          <w:rPr>
            <w:noProof/>
            <w:webHidden/>
          </w:rPr>
          <w:fldChar w:fldCharType="end"/>
        </w:r>
      </w:hyperlink>
    </w:p>
    <w:p w14:paraId="528FEA26" w14:textId="77777777" w:rsidR="00C02E8C" w:rsidRDefault="00E05122" w:rsidP="00C02E8C">
      <w:pPr>
        <w:pStyle w:val="Obsah2"/>
        <w:rPr>
          <w:rFonts w:asciiTheme="minorHAnsi" w:eastAsiaTheme="minorEastAsia" w:hAnsiTheme="minorHAnsi" w:cstheme="minorBidi"/>
          <w:noProof/>
          <w:sz w:val="22"/>
          <w:szCs w:val="22"/>
        </w:rPr>
      </w:pPr>
      <w:hyperlink w:anchor="_Toc89762390" w:history="1">
        <w:r w:rsidR="00C02E8C" w:rsidRPr="00435FF9">
          <w:rPr>
            <w:rStyle w:val="Hypertextovodkaz"/>
            <w:noProof/>
          </w:rPr>
          <w:t>3.3</w:t>
        </w:r>
        <w:r w:rsidR="00C02E8C">
          <w:rPr>
            <w:rFonts w:asciiTheme="minorHAnsi" w:eastAsiaTheme="minorEastAsia" w:hAnsiTheme="minorHAnsi" w:cstheme="minorBidi"/>
            <w:noProof/>
            <w:sz w:val="22"/>
            <w:szCs w:val="22"/>
          </w:rPr>
          <w:tab/>
        </w:r>
        <w:r w:rsidR="00C02E8C" w:rsidRPr="00435FF9">
          <w:rPr>
            <w:rStyle w:val="Hypertextovodkaz"/>
            <w:noProof/>
          </w:rPr>
          <w:t>Zrušené vnitřní předpisy</w:t>
        </w:r>
        <w:r w:rsidR="00C02E8C">
          <w:rPr>
            <w:noProof/>
            <w:webHidden/>
          </w:rPr>
          <w:tab/>
        </w:r>
        <w:r w:rsidR="00C02E8C">
          <w:rPr>
            <w:noProof/>
            <w:webHidden/>
          </w:rPr>
          <w:fldChar w:fldCharType="begin"/>
        </w:r>
        <w:r w:rsidR="00C02E8C">
          <w:rPr>
            <w:noProof/>
            <w:webHidden/>
          </w:rPr>
          <w:instrText xml:space="preserve"> PAGEREF _Toc89762390 \h </w:instrText>
        </w:r>
        <w:r w:rsidR="00C02E8C">
          <w:rPr>
            <w:noProof/>
            <w:webHidden/>
          </w:rPr>
        </w:r>
        <w:r w:rsidR="00C02E8C">
          <w:rPr>
            <w:noProof/>
            <w:webHidden/>
          </w:rPr>
          <w:fldChar w:fldCharType="separate"/>
        </w:r>
        <w:r w:rsidR="00C02E8C">
          <w:rPr>
            <w:noProof/>
            <w:webHidden/>
          </w:rPr>
          <w:t>14</w:t>
        </w:r>
        <w:r w:rsidR="00C02E8C">
          <w:rPr>
            <w:noProof/>
            <w:webHidden/>
          </w:rPr>
          <w:fldChar w:fldCharType="end"/>
        </w:r>
      </w:hyperlink>
    </w:p>
    <w:p w14:paraId="7616A638" w14:textId="77777777" w:rsidR="00C02E8C" w:rsidRDefault="00E05122" w:rsidP="00C02E8C">
      <w:pPr>
        <w:pStyle w:val="Obsah2"/>
        <w:rPr>
          <w:rFonts w:asciiTheme="minorHAnsi" w:eastAsiaTheme="minorEastAsia" w:hAnsiTheme="minorHAnsi" w:cstheme="minorBidi"/>
          <w:noProof/>
          <w:sz w:val="22"/>
          <w:szCs w:val="22"/>
        </w:rPr>
      </w:pPr>
      <w:hyperlink w:anchor="_Toc89762391" w:history="1">
        <w:r w:rsidR="00C02E8C" w:rsidRPr="00435FF9">
          <w:rPr>
            <w:rStyle w:val="Hypertextovodkaz"/>
            <w:noProof/>
          </w:rPr>
          <w:t>3.4</w:t>
        </w:r>
        <w:r w:rsidR="00C02E8C">
          <w:rPr>
            <w:rFonts w:asciiTheme="minorHAnsi" w:eastAsiaTheme="minorEastAsia" w:hAnsiTheme="minorHAnsi" w:cstheme="minorBidi"/>
            <w:noProof/>
            <w:sz w:val="22"/>
            <w:szCs w:val="22"/>
          </w:rPr>
          <w:tab/>
        </w:r>
        <w:r w:rsidR="00C02E8C" w:rsidRPr="00435FF9">
          <w:rPr>
            <w:rStyle w:val="Hypertextovodkaz"/>
            <w:noProof/>
          </w:rPr>
          <w:t>Provedené změny</w:t>
        </w:r>
        <w:r w:rsidR="00C02E8C">
          <w:rPr>
            <w:noProof/>
            <w:webHidden/>
          </w:rPr>
          <w:tab/>
        </w:r>
        <w:r w:rsidR="00C02E8C">
          <w:rPr>
            <w:noProof/>
            <w:webHidden/>
          </w:rPr>
          <w:fldChar w:fldCharType="begin"/>
        </w:r>
        <w:r w:rsidR="00C02E8C">
          <w:rPr>
            <w:noProof/>
            <w:webHidden/>
          </w:rPr>
          <w:instrText xml:space="preserve"> PAGEREF _Toc89762391 \h </w:instrText>
        </w:r>
        <w:r w:rsidR="00C02E8C">
          <w:rPr>
            <w:noProof/>
            <w:webHidden/>
          </w:rPr>
        </w:r>
        <w:r w:rsidR="00C02E8C">
          <w:rPr>
            <w:noProof/>
            <w:webHidden/>
          </w:rPr>
          <w:fldChar w:fldCharType="separate"/>
        </w:r>
        <w:r w:rsidR="00C02E8C">
          <w:rPr>
            <w:noProof/>
            <w:webHidden/>
          </w:rPr>
          <w:t>14</w:t>
        </w:r>
        <w:r w:rsidR="00C02E8C">
          <w:rPr>
            <w:noProof/>
            <w:webHidden/>
          </w:rPr>
          <w:fldChar w:fldCharType="end"/>
        </w:r>
      </w:hyperlink>
    </w:p>
    <w:p w14:paraId="5DF39A31" w14:textId="77777777" w:rsidR="00C02E8C" w:rsidRDefault="00E05122" w:rsidP="00C02E8C">
      <w:pPr>
        <w:pStyle w:val="Obsah2"/>
        <w:rPr>
          <w:rFonts w:asciiTheme="minorHAnsi" w:eastAsiaTheme="minorEastAsia" w:hAnsiTheme="minorHAnsi" w:cstheme="minorBidi"/>
          <w:noProof/>
          <w:sz w:val="22"/>
          <w:szCs w:val="22"/>
        </w:rPr>
      </w:pPr>
      <w:hyperlink w:anchor="_Toc89762392" w:history="1">
        <w:r w:rsidR="00C02E8C" w:rsidRPr="00435FF9">
          <w:rPr>
            <w:rStyle w:val="Hypertextovodkaz"/>
            <w:noProof/>
          </w:rPr>
          <w:t>3.5</w:t>
        </w:r>
        <w:r w:rsidR="00C02E8C">
          <w:rPr>
            <w:rFonts w:asciiTheme="minorHAnsi" w:eastAsiaTheme="minorEastAsia" w:hAnsiTheme="minorHAnsi" w:cstheme="minorBidi"/>
            <w:noProof/>
            <w:sz w:val="22"/>
            <w:szCs w:val="22"/>
          </w:rPr>
          <w:tab/>
        </w:r>
        <w:r w:rsidR="00C02E8C" w:rsidRPr="00435FF9">
          <w:rPr>
            <w:rStyle w:val="Hypertextovodkaz"/>
            <w:noProof/>
          </w:rPr>
          <w:t>Přílohy</w:t>
        </w:r>
        <w:r w:rsidR="00C02E8C">
          <w:rPr>
            <w:noProof/>
            <w:webHidden/>
          </w:rPr>
          <w:tab/>
        </w:r>
        <w:r w:rsidR="00C02E8C">
          <w:rPr>
            <w:noProof/>
            <w:webHidden/>
          </w:rPr>
          <w:fldChar w:fldCharType="begin"/>
        </w:r>
        <w:r w:rsidR="00C02E8C">
          <w:rPr>
            <w:noProof/>
            <w:webHidden/>
          </w:rPr>
          <w:instrText xml:space="preserve"> PAGEREF _Toc89762392 \h </w:instrText>
        </w:r>
        <w:r w:rsidR="00C02E8C">
          <w:rPr>
            <w:noProof/>
            <w:webHidden/>
          </w:rPr>
        </w:r>
        <w:r w:rsidR="00C02E8C">
          <w:rPr>
            <w:noProof/>
            <w:webHidden/>
          </w:rPr>
          <w:fldChar w:fldCharType="separate"/>
        </w:r>
        <w:r w:rsidR="00C02E8C">
          <w:rPr>
            <w:noProof/>
            <w:webHidden/>
          </w:rPr>
          <w:t>14</w:t>
        </w:r>
        <w:r w:rsidR="00C02E8C">
          <w:rPr>
            <w:noProof/>
            <w:webHidden/>
          </w:rPr>
          <w:fldChar w:fldCharType="end"/>
        </w:r>
      </w:hyperlink>
    </w:p>
    <w:p w14:paraId="656F40B6" w14:textId="77777777" w:rsidR="00C02E8C" w:rsidRPr="009E39BD" w:rsidRDefault="00C02E8C" w:rsidP="00C02E8C">
      <w:pPr>
        <w:pStyle w:val="Obsah2"/>
      </w:pPr>
      <w:r w:rsidRPr="009E39BD">
        <w:fldChar w:fldCharType="end"/>
      </w:r>
    </w:p>
    <w:p w14:paraId="78126A12" w14:textId="77777777" w:rsidR="00C02E8C" w:rsidRPr="009E39BD" w:rsidRDefault="00C02E8C" w:rsidP="00C02E8C">
      <w:pPr>
        <w:pStyle w:val="Nadpis1"/>
      </w:pPr>
      <w:r w:rsidRPr="009E39BD">
        <w:br w:type="page"/>
      </w:r>
      <w:bookmarkStart w:id="0" w:name="_Toc63760776"/>
      <w:bookmarkStart w:id="1" w:name="_Toc81192607"/>
      <w:bookmarkStart w:id="2" w:name="_Toc90785438"/>
      <w:bookmarkStart w:id="3" w:name="_Toc89762369"/>
      <w:r w:rsidRPr="009E39BD">
        <w:lastRenderedPageBreak/>
        <w:t>Základní ustanovení</w:t>
      </w:r>
      <w:bookmarkEnd w:id="0"/>
      <w:bookmarkEnd w:id="1"/>
      <w:bookmarkEnd w:id="2"/>
      <w:bookmarkEnd w:id="3"/>
    </w:p>
    <w:p w14:paraId="757C1A37" w14:textId="77777777" w:rsidR="00C02E8C" w:rsidRPr="009E39BD" w:rsidRDefault="00C02E8C" w:rsidP="00C02E8C">
      <w:pPr>
        <w:pStyle w:val="Nadpis2"/>
      </w:pPr>
      <w:bookmarkStart w:id="4" w:name="_Toc388260314"/>
      <w:bookmarkStart w:id="5" w:name="_Toc435837042"/>
      <w:bookmarkStart w:id="6" w:name="_Toc63760777"/>
      <w:bookmarkStart w:id="7" w:name="_Toc81192608"/>
      <w:bookmarkStart w:id="8" w:name="_Toc90785439"/>
      <w:bookmarkStart w:id="9" w:name="_Toc89762370"/>
      <w:r w:rsidRPr="009E39BD">
        <w:t>Účel</w:t>
      </w:r>
      <w:bookmarkEnd w:id="4"/>
      <w:bookmarkEnd w:id="5"/>
      <w:r w:rsidRPr="009E39BD">
        <w:t xml:space="preserve"> </w:t>
      </w:r>
      <w:bookmarkEnd w:id="6"/>
      <w:bookmarkEnd w:id="7"/>
      <w:bookmarkEnd w:id="8"/>
      <w:r w:rsidRPr="009E39BD">
        <w:t>předpisu</w:t>
      </w:r>
      <w:bookmarkEnd w:id="9"/>
    </w:p>
    <w:p w14:paraId="35069C8D" w14:textId="77777777" w:rsidR="00C02E8C" w:rsidRPr="009E39BD" w:rsidRDefault="00C02E8C" w:rsidP="00C02E8C">
      <w:pPr>
        <w:tabs>
          <w:tab w:val="num" w:pos="567"/>
        </w:tabs>
        <w:ind w:left="567"/>
      </w:pPr>
      <w:bookmarkStart w:id="10" w:name="_Toc63760778"/>
      <w:bookmarkStart w:id="11" w:name="_Toc81192609"/>
      <w:bookmarkStart w:id="12" w:name="_Toc90785440"/>
      <w:r w:rsidRPr="009E39BD">
        <w:t>Účelem tohoto předpisu je stanovit postupy, pravomoci a odpovědnosti spojené s procesy návrhu, vývoje a zavádění konkrétních investičních produktů v J&amp;T BANCE, a.</w:t>
      </w:r>
      <w:r>
        <w:t xml:space="preserve"> </w:t>
      </w:r>
      <w:r w:rsidRPr="009E39BD">
        <w:t>s. (dále jen "</w:t>
      </w:r>
      <w:r w:rsidRPr="00BF4508">
        <w:rPr>
          <w:b/>
          <w:bCs/>
        </w:rPr>
        <w:t>Banka</w:t>
      </w:r>
      <w:r w:rsidRPr="009E39BD">
        <w:t>").</w:t>
      </w:r>
    </w:p>
    <w:p w14:paraId="59B0AEB4" w14:textId="77777777" w:rsidR="00C02E8C" w:rsidRPr="009E39BD" w:rsidRDefault="00C02E8C" w:rsidP="00C02E8C">
      <w:pPr>
        <w:pStyle w:val="Nadpis2"/>
      </w:pPr>
      <w:bookmarkStart w:id="13" w:name="_Toc89762371"/>
      <w:r w:rsidRPr="009E39BD">
        <w:t>Přiřazení předpisu k procesu</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7005"/>
      </w:tblGrid>
      <w:tr w:rsidR="00C02E8C" w:rsidRPr="009E39BD" w14:paraId="5BBCF398" w14:textId="77777777" w:rsidTr="001C5DC4">
        <w:tc>
          <w:tcPr>
            <w:tcW w:w="1134" w:type="pct"/>
          </w:tcPr>
          <w:p w14:paraId="6A2B154A" w14:textId="77777777" w:rsidR="00C02E8C" w:rsidRPr="009E39BD" w:rsidRDefault="00C02E8C" w:rsidP="001C5DC4">
            <w:pPr>
              <w:pStyle w:val="Tabulka"/>
              <w:rPr>
                <w:b/>
              </w:rPr>
            </w:pPr>
            <w:r w:rsidRPr="009E39BD">
              <w:rPr>
                <w:b/>
              </w:rPr>
              <w:t>Typ procesu</w:t>
            </w:r>
          </w:p>
        </w:tc>
        <w:tc>
          <w:tcPr>
            <w:tcW w:w="3866" w:type="pct"/>
          </w:tcPr>
          <w:p w14:paraId="11DCB94A" w14:textId="77777777" w:rsidR="00C02E8C" w:rsidRPr="009E39BD" w:rsidRDefault="00C02E8C" w:rsidP="001C5DC4">
            <w:pPr>
              <w:pStyle w:val="Tabulka"/>
            </w:pPr>
            <w:r w:rsidRPr="009E39BD">
              <w:t>Obchodní proces</w:t>
            </w:r>
          </w:p>
        </w:tc>
      </w:tr>
      <w:tr w:rsidR="00C02E8C" w:rsidRPr="009E39BD" w14:paraId="0B64E891" w14:textId="77777777" w:rsidTr="001C5DC4">
        <w:tc>
          <w:tcPr>
            <w:tcW w:w="1134" w:type="pct"/>
          </w:tcPr>
          <w:p w14:paraId="7AD9F265" w14:textId="77777777" w:rsidR="00C02E8C" w:rsidRPr="009E39BD" w:rsidRDefault="00C02E8C" w:rsidP="001C5DC4">
            <w:pPr>
              <w:pStyle w:val="Tabulka"/>
              <w:rPr>
                <w:b/>
              </w:rPr>
            </w:pPr>
            <w:r w:rsidRPr="009E39BD">
              <w:rPr>
                <w:b/>
              </w:rPr>
              <w:t>Skupina procesů</w:t>
            </w:r>
          </w:p>
        </w:tc>
        <w:tc>
          <w:tcPr>
            <w:tcW w:w="3866" w:type="pct"/>
          </w:tcPr>
          <w:p w14:paraId="16350747" w14:textId="77777777" w:rsidR="00C02E8C" w:rsidRPr="009E39BD" w:rsidRDefault="00C02E8C" w:rsidP="001C5DC4">
            <w:pPr>
              <w:pStyle w:val="Tabulka"/>
            </w:pPr>
            <w:r w:rsidRPr="009E39BD">
              <w:t>Návrh, vývoj a správa produktů</w:t>
            </w:r>
          </w:p>
        </w:tc>
      </w:tr>
      <w:tr w:rsidR="00C02E8C" w:rsidRPr="009E39BD" w14:paraId="2FD4DFFB" w14:textId="77777777" w:rsidTr="001C5DC4">
        <w:tc>
          <w:tcPr>
            <w:tcW w:w="1134" w:type="pct"/>
          </w:tcPr>
          <w:p w14:paraId="393AB7E0" w14:textId="77777777" w:rsidR="00C02E8C" w:rsidRPr="009E39BD" w:rsidRDefault="00C02E8C" w:rsidP="001C5DC4">
            <w:pPr>
              <w:pStyle w:val="Tabulka"/>
              <w:rPr>
                <w:b/>
              </w:rPr>
            </w:pPr>
            <w:r w:rsidRPr="009E39BD">
              <w:rPr>
                <w:b/>
              </w:rPr>
              <w:t>Proces</w:t>
            </w:r>
          </w:p>
        </w:tc>
        <w:tc>
          <w:tcPr>
            <w:tcW w:w="3866" w:type="pct"/>
          </w:tcPr>
          <w:p w14:paraId="1CACE4DE" w14:textId="77777777" w:rsidR="00C02E8C" w:rsidRPr="009E39BD" w:rsidRDefault="00C02E8C" w:rsidP="001C5DC4">
            <w:pPr>
              <w:pStyle w:val="Tabulka"/>
            </w:pPr>
            <w:r w:rsidRPr="009E39BD">
              <w:t>Návrh, vývoj a správa investičních produktů v bance</w:t>
            </w:r>
          </w:p>
        </w:tc>
      </w:tr>
    </w:tbl>
    <w:p w14:paraId="14A17707" w14:textId="77777777" w:rsidR="00C02E8C" w:rsidRPr="009E39BD" w:rsidRDefault="00C02E8C" w:rsidP="00C02E8C">
      <w:pPr>
        <w:pStyle w:val="Nadpis2"/>
      </w:pPr>
      <w:bookmarkStart w:id="14" w:name="_Toc89762372"/>
      <w:r w:rsidRPr="009E39BD">
        <w:t>Působnost</w:t>
      </w:r>
      <w:bookmarkEnd w:id="10"/>
      <w:bookmarkEnd w:id="11"/>
      <w:bookmarkEnd w:id="12"/>
      <w:r w:rsidRPr="009E39BD">
        <w:t xml:space="preserve"> předpisu</w:t>
      </w:r>
      <w:bookmarkEnd w:id="14"/>
    </w:p>
    <w:p w14:paraId="11600F07" w14:textId="77777777" w:rsidR="00C02E8C" w:rsidRPr="009E39BD" w:rsidRDefault="00C02E8C" w:rsidP="00C02E8C">
      <w:pPr>
        <w:tabs>
          <w:tab w:val="num" w:pos="567"/>
        </w:tabs>
        <w:ind w:left="567"/>
      </w:pPr>
      <w:bookmarkStart w:id="15" w:name="_Toc63760779"/>
      <w:bookmarkStart w:id="16" w:name="_Toc81192610"/>
      <w:bookmarkStart w:id="17" w:name="_Toc90785441"/>
      <w:r w:rsidRPr="009E39BD">
        <w:t>Tento předpis se týká všech odborů centrály a pobočky Banky.</w:t>
      </w:r>
    </w:p>
    <w:p w14:paraId="2D2D3DF6" w14:textId="77777777" w:rsidR="00C02E8C" w:rsidRPr="009E39BD" w:rsidRDefault="00C02E8C" w:rsidP="00C02E8C">
      <w:pPr>
        <w:pStyle w:val="Nadpis2"/>
      </w:pPr>
      <w:bookmarkStart w:id="18" w:name="_Toc89762373"/>
      <w:r w:rsidRPr="009E39BD">
        <w:t xml:space="preserve">Vlastník </w:t>
      </w:r>
      <w:bookmarkEnd w:id="15"/>
      <w:bookmarkEnd w:id="16"/>
      <w:bookmarkEnd w:id="17"/>
      <w:r w:rsidRPr="009E39BD">
        <w:t>předpisu</w:t>
      </w:r>
      <w:bookmarkEnd w:id="18"/>
    </w:p>
    <w:p w14:paraId="3BAEC59B" w14:textId="77777777" w:rsidR="00C02E8C" w:rsidRPr="009E39BD" w:rsidRDefault="00C02E8C" w:rsidP="00C02E8C">
      <w:pPr>
        <w:tabs>
          <w:tab w:val="num" w:pos="567"/>
        </w:tabs>
        <w:ind w:left="567"/>
      </w:pPr>
      <w:bookmarkStart w:id="19" w:name="_Toc63760783"/>
      <w:bookmarkStart w:id="20" w:name="_Toc81192614"/>
      <w:bookmarkStart w:id="21" w:name="_Toc90785445"/>
      <w:bookmarkStart w:id="22" w:name="_Toc528493017"/>
      <w:bookmarkStart w:id="23" w:name="_Toc63760780"/>
      <w:bookmarkStart w:id="24" w:name="_Toc81192611"/>
      <w:bookmarkStart w:id="25" w:name="_Toc90785442"/>
      <w:r w:rsidRPr="009E39BD">
        <w:t xml:space="preserve">Odpovědnost za platnost, aktuálnost a správnost tohoto předpisu má vedoucí oddělení Investiční centrum </w:t>
      </w:r>
      <w:r w:rsidRPr="00BF4508">
        <w:t>(ODIC)</w:t>
      </w:r>
      <w:r w:rsidRPr="009E39BD">
        <w:t>.</w:t>
      </w:r>
    </w:p>
    <w:p w14:paraId="3ADFB0D6" w14:textId="77777777" w:rsidR="00C02E8C" w:rsidRPr="009E39BD" w:rsidRDefault="00C02E8C" w:rsidP="00C02E8C">
      <w:pPr>
        <w:pStyle w:val="Nadpis2"/>
      </w:pPr>
      <w:bookmarkStart w:id="26" w:name="_Toc89762374"/>
      <w:r w:rsidRPr="009E39BD">
        <w:t>Odpovědnosti</w:t>
      </w:r>
      <w:bookmarkEnd w:id="26"/>
    </w:p>
    <w:p w14:paraId="328FE04E" w14:textId="77777777" w:rsidR="00C02E8C" w:rsidRPr="009E39BD" w:rsidRDefault="00C02E8C" w:rsidP="00C02E8C">
      <w:pPr>
        <w:tabs>
          <w:tab w:val="num" w:pos="567"/>
        </w:tabs>
        <w:ind w:left="567"/>
      </w:pPr>
      <w:r w:rsidRPr="009E39BD">
        <w:t>Všechny odpovědnosti jsou uvedeny přímo v textu předpisu.</w:t>
      </w:r>
    </w:p>
    <w:p w14:paraId="549CCCA7" w14:textId="77777777" w:rsidR="00C02E8C" w:rsidRPr="009E39BD" w:rsidRDefault="00C02E8C" w:rsidP="00C02E8C">
      <w:pPr>
        <w:pStyle w:val="Nadpis2"/>
      </w:pPr>
      <w:bookmarkStart w:id="27" w:name="_Toc89762375"/>
      <w:r w:rsidRPr="009E39BD">
        <w:t>Definice pojmů a použité zkratky</w:t>
      </w:r>
      <w:bookmarkEnd w:id="27"/>
    </w:p>
    <w:p w14:paraId="1E6404FA" w14:textId="77777777" w:rsidR="00C02E8C" w:rsidRPr="009E39BD" w:rsidRDefault="00C02E8C" w:rsidP="00C02E8C">
      <w:pPr>
        <w:tabs>
          <w:tab w:val="num" w:pos="567"/>
          <w:tab w:val="num" w:pos="2269"/>
        </w:tabs>
        <w:ind w:left="567"/>
      </w:pPr>
      <w:bookmarkStart w:id="28" w:name="_Toc166985855"/>
      <w:bookmarkStart w:id="29" w:name="_Toc167010835"/>
      <w:bookmarkStart w:id="30" w:name="_Toc166985856"/>
      <w:bookmarkStart w:id="31" w:name="_Toc167010836"/>
      <w:bookmarkStart w:id="32" w:name="_Toc166985860"/>
      <w:bookmarkStart w:id="33" w:name="_Toc167010840"/>
      <w:bookmarkStart w:id="34" w:name="_Toc166985862"/>
      <w:bookmarkStart w:id="35" w:name="_Toc167010842"/>
      <w:bookmarkStart w:id="36" w:name="_Toc166985863"/>
      <w:bookmarkStart w:id="37" w:name="_Toc167010843"/>
      <w:bookmarkStart w:id="38" w:name="_Toc166985869"/>
      <w:bookmarkStart w:id="39" w:name="_Toc167010849"/>
      <w:bookmarkStart w:id="40" w:name="_Toc166985870"/>
      <w:bookmarkStart w:id="41" w:name="_Toc167010850"/>
      <w:bookmarkStart w:id="42" w:name="_Toc166985874"/>
      <w:bookmarkStart w:id="43" w:name="_Toc167010854"/>
      <w:bookmarkStart w:id="44" w:name="_Toc166985875"/>
      <w:bookmarkStart w:id="45" w:name="_Toc167010855"/>
      <w:bookmarkEnd w:id="19"/>
      <w:bookmarkEnd w:id="20"/>
      <w:bookmarkEnd w:id="21"/>
      <w:bookmarkEnd w:id="22"/>
      <w:bookmarkEnd w:id="23"/>
      <w:bookmarkEnd w:id="24"/>
      <w:bookmarkEnd w:id="2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9E39BD">
        <w:rPr>
          <w:b/>
        </w:rPr>
        <w:t>Investiční produkt</w:t>
      </w:r>
      <w:r w:rsidRPr="009E39BD">
        <w:t xml:space="preserve"> </w:t>
      </w:r>
      <w:r>
        <w:t>(dále i jako „</w:t>
      </w:r>
      <w:r w:rsidRPr="00BF4508">
        <w:rPr>
          <w:b/>
          <w:bCs/>
        </w:rPr>
        <w:t>IN</w:t>
      </w:r>
      <w:r>
        <w:t xml:space="preserve">“) </w:t>
      </w:r>
      <w:r w:rsidRPr="009E39BD">
        <w:t>– za investiční produkt se považuje každý jednotlivý investiční nástroj tak, jak je definován v</w:t>
      </w:r>
      <w:r>
        <w:t> zákoně č. 256/2004 Sb., o podnikání na kapitálovém trhu (dále jen „</w:t>
      </w:r>
      <w:r w:rsidRPr="00BF4508">
        <w:rPr>
          <w:b/>
          <w:bCs/>
        </w:rPr>
        <w:t>ZPKT</w:t>
      </w:r>
      <w:r>
        <w:t>“)</w:t>
      </w:r>
      <w:r w:rsidRPr="009E39BD">
        <w:t>, který již má, nebo po jeho vzniku mu bude přiřazen, jednoznačný identifikátor. Tím je většinou ISIN, může jím být ale i jiný jedinečný identifikátor.</w:t>
      </w:r>
    </w:p>
    <w:p w14:paraId="7E1FAA48" w14:textId="77777777" w:rsidR="00C02E8C" w:rsidRDefault="00C02E8C" w:rsidP="00C02E8C">
      <w:pPr>
        <w:tabs>
          <w:tab w:val="clear" w:pos="709"/>
          <w:tab w:val="num" w:pos="567"/>
          <w:tab w:val="num" w:pos="2269"/>
        </w:tabs>
        <w:ind w:left="567"/>
      </w:pPr>
      <w:r w:rsidRPr="009E39BD">
        <w:rPr>
          <w:b/>
        </w:rPr>
        <w:t>PRIIPs produkty</w:t>
      </w:r>
      <w:r w:rsidRPr="009E39BD">
        <w:t xml:space="preserve"> – strukturované retailové investiční produkty a pojistné produkty s investiční složkou. K těmto produktům se váže povinnost tvůrce nebo prodejce k produktu poskytnout retailovým investorům Klíčové informace pro investory (KID).</w:t>
      </w:r>
    </w:p>
    <w:p w14:paraId="1FD48697" w14:textId="77777777" w:rsidR="00C02E8C" w:rsidRPr="00BF4508" w:rsidRDefault="00C02E8C" w:rsidP="00C02E8C">
      <w:pPr>
        <w:tabs>
          <w:tab w:val="clear" w:pos="709"/>
          <w:tab w:val="num" w:pos="567"/>
          <w:tab w:val="num" w:pos="2269"/>
        </w:tabs>
        <w:ind w:left="567"/>
        <w:rPr>
          <w:b/>
          <w:highlight w:val="yellow"/>
        </w:rPr>
      </w:pPr>
      <w:r w:rsidRPr="00BF4508">
        <w:rPr>
          <w:b/>
          <w:highlight w:val="yellow"/>
        </w:rPr>
        <w:t xml:space="preserve">Podnikový dluhopis s vysokým rizikovým profilem </w:t>
      </w:r>
      <w:r w:rsidRPr="00BF4508">
        <w:rPr>
          <w:bCs/>
          <w:highlight w:val="yellow"/>
        </w:rPr>
        <w:t>(dle dohledového benchmarku NBS) - dluhopis, který je investorům ve Slovenské republice nabízen pouze s Emisními podmínkami, bez Prospektu, případně s Prospektem, ale není přijat k obchodování na regulovaném veřejném trhu. Likvidita takovýchto dluhopisů je omezena, stejně tak jako sekundární trh s nimi je limitovaný ve srovnání s dluhopisy obchodovanými na burze.</w:t>
      </w:r>
      <w:r w:rsidRPr="00BF4508">
        <w:rPr>
          <w:b/>
          <w:highlight w:val="yellow"/>
        </w:rPr>
        <w:t xml:space="preserve"> </w:t>
      </w:r>
    </w:p>
    <w:p w14:paraId="373C2134" w14:textId="77777777" w:rsidR="00C02E8C" w:rsidRPr="009E39BD" w:rsidRDefault="00C02E8C" w:rsidP="00C02E8C">
      <w:pPr>
        <w:tabs>
          <w:tab w:val="num" w:pos="567"/>
          <w:tab w:val="num" w:pos="2269"/>
        </w:tabs>
        <w:ind w:left="567"/>
      </w:pPr>
      <w:r w:rsidRPr="009E39BD">
        <w:rPr>
          <w:b/>
        </w:rPr>
        <w:t>Výbor pro investiční nástroje</w:t>
      </w:r>
      <w:r w:rsidRPr="009E39BD">
        <w:t xml:space="preserve"> (dále pouze „</w:t>
      </w:r>
      <w:r w:rsidRPr="00BF4508">
        <w:rPr>
          <w:b/>
          <w:bCs/>
        </w:rPr>
        <w:t>VIN</w:t>
      </w:r>
      <w:r w:rsidRPr="009E39BD">
        <w:t xml:space="preserve">“) - jak je definován v příloze č. 3 vnitřního předpisu "22/2006 Organizační řád J&amp;T BANKY, Statuty odborných výborů J&amp;T BANKY". </w:t>
      </w:r>
    </w:p>
    <w:p w14:paraId="18D29345" w14:textId="77777777" w:rsidR="00C02E8C" w:rsidRPr="009E39BD" w:rsidRDefault="00C02E8C" w:rsidP="00C02E8C">
      <w:pPr>
        <w:tabs>
          <w:tab w:val="num" w:pos="567"/>
          <w:tab w:val="num" w:pos="2269"/>
        </w:tabs>
        <w:ind w:left="567"/>
      </w:pPr>
      <w:r w:rsidRPr="009E39BD">
        <w:rPr>
          <w:b/>
        </w:rPr>
        <w:t>Implementace IN</w:t>
      </w:r>
      <w:r w:rsidRPr="009E39BD">
        <w:t xml:space="preserve"> – zařazení nového IN do procesních a technických struktur Banky v souladu s Produktovým listem. Neexistuje-li produktový list pro danou oblast, je potřeba jej nejprve vytvořit a následně implementovat IN.</w:t>
      </w:r>
    </w:p>
    <w:p w14:paraId="61688D90" w14:textId="77777777" w:rsidR="00C02E8C" w:rsidRDefault="00C02E8C" w:rsidP="00C02E8C">
      <w:pPr>
        <w:tabs>
          <w:tab w:val="num" w:pos="567"/>
          <w:tab w:val="num" w:pos="2269"/>
        </w:tabs>
        <w:ind w:left="567"/>
      </w:pPr>
      <w:r w:rsidRPr="0014336E">
        <w:rPr>
          <w:b/>
        </w:rPr>
        <w:t>Nabízení IN</w:t>
      </w:r>
      <w:r w:rsidRPr="0014336E">
        <w:t xml:space="preserve"> - aktivn</w:t>
      </w:r>
      <w:r>
        <w:t>í s</w:t>
      </w:r>
      <w:r w:rsidRPr="0014336E">
        <w:t>děl</w:t>
      </w:r>
      <w:r>
        <w:t xml:space="preserve">ování </w:t>
      </w:r>
      <w:r w:rsidRPr="0014336E">
        <w:t>přesn</w:t>
      </w:r>
      <w:r>
        <w:t>ých</w:t>
      </w:r>
      <w:r w:rsidRPr="0014336E">
        <w:t xml:space="preserve"> parametr</w:t>
      </w:r>
      <w:r>
        <w:t>ů IN</w:t>
      </w:r>
      <w:r w:rsidRPr="0014336E">
        <w:t xml:space="preserve">, </w:t>
      </w:r>
      <w:r>
        <w:t xml:space="preserve">vč. </w:t>
      </w:r>
      <w:r w:rsidRPr="0014336E">
        <w:t>možnost</w:t>
      </w:r>
      <w:r>
        <w:t>i</w:t>
      </w:r>
      <w:r w:rsidRPr="0014336E">
        <w:t>, jak tyto IN získat a nakoupit</w:t>
      </w:r>
      <w:r>
        <w:t xml:space="preserve"> pro účely</w:t>
      </w:r>
      <w:r w:rsidRPr="0014336E">
        <w:t xml:space="preserve"> </w:t>
      </w:r>
      <w:r>
        <w:t xml:space="preserve">poskytování investiční služby </w:t>
      </w:r>
      <w:r w:rsidRPr="0014336E">
        <w:t>přijímání, předávání a provádění pokynů s těmito IN na účet klienta. Banka může za tyto IN obdržet určitou formu pobídky.</w:t>
      </w:r>
    </w:p>
    <w:p w14:paraId="030BC2CE" w14:textId="77777777" w:rsidR="00C02E8C" w:rsidRPr="009E39BD" w:rsidRDefault="00C02E8C" w:rsidP="00C02E8C">
      <w:pPr>
        <w:tabs>
          <w:tab w:val="num" w:pos="567"/>
          <w:tab w:val="num" w:pos="2269"/>
        </w:tabs>
        <w:ind w:left="567"/>
      </w:pPr>
      <w:r w:rsidRPr="009E39BD">
        <w:rPr>
          <w:b/>
        </w:rPr>
        <w:t xml:space="preserve">Zprostředkování IN </w:t>
      </w:r>
      <w:r w:rsidRPr="009E39BD">
        <w:t>–</w:t>
      </w:r>
      <w:r>
        <w:t xml:space="preserve"> </w:t>
      </w:r>
      <w:r w:rsidRPr="0014336E">
        <w:t>zprostředková</w:t>
      </w:r>
      <w:r>
        <w:t>ní</w:t>
      </w:r>
      <w:r w:rsidRPr="0014336E">
        <w:t xml:space="preserve"> přístup</w:t>
      </w:r>
      <w:r>
        <w:t>u</w:t>
      </w:r>
      <w:r w:rsidRPr="0014336E">
        <w:t xml:space="preserve"> na kapitálové trhy</w:t>
      </w:r>
      <w:r>
        <w:t>,</w:t>
      </w:r>
      <w:r w:rsidRPr="006A54A1">
        <w:t xml:space="preserve"> </w:t>
      </w:r>
      <w:r w:rsidRPr="0014336E">
        <w:t xml:space="preserve">kde </w:t>
      </w:r>
      <w:r>
        <w:t>B</w:t>
      </w:r>
      <w:r w:rsidRPr="0014336E">
        <w:t>anka je agentem klienta</w:t>
      </w:r>
      <w:r w:rsidRPr="009E39BD">
        <w:t>.</w:t>
      </w:r>
    </w:p>
    <w:p w14:paraId="753D051E" w14:textId="77777777" w:rsidR="00C02E8C" w:rsidRPr="009E39BD" w:rsidRDefault="00C02E8C" w:rsidP="00C02E8C">
      <w:pPr>
        <w:tabs>
          <w:tab w:val="num" w:pos="567"/>
          <w:tab w:val="num" w:pos="2269"/>
        </w:tabs>
        <w:ind w:left="567"/>
      </w:pPr>
      <w:r w:rsidRPr="009E39BD">
        <w:rPr>
          <w:b/>
        </w:rPr>
        <w:t>Informace nutné pro realizaci distribuce IN</w:t>
      </w:r>
      <w:r w:rsidRPr="009E39BD">
        <w:t xml:space="preserve"> ke klientovi vyplývající ze zákona:</w:t>
      </w:r>
    </w:p>
    <w:p w14:paraId="40FA3727" w14:textId="77777777" w:rsidR="00C02E8C" w:rsidRPr="009E39BD" w:rsidRDefault="00C02E8C" w:rsidP="00C02E8C">
      <w:pPr>
        <w:pStyle w:val="Odstavecseseznamem"/>
        <w:numPr>
          <w:ilvl w:val="0"/>
          <w:numId w:val="14"/>
        </w:numPr>
        <w:tabs>
          <w:tab w:val="num" w:pos="2269"/>
        </w:tabs>
        <w:ind w:left="924" w:hanging="357"/>
        <w:contextualSpacing w:val="0"/>
      </w:pPr>
      <w:r w:rsidRPr="009E39BD">
        <w:lastRenderedPageBreak/>
        <w:t>Statut/Prospekt k Investičnímu produktu, nebo</w:t>
      </w:r>
    </w:p>
    <w:p w14:paraId="5A22A942" w14:textId="77777777" w:rsidR="00C02E8C" w:rsidRPr="009E39BD" w:rsidRDefault="00C02E8C" w:rsidP="00C02E8C">
      <w:pPr>
        <w:pStyle w:val="Odstavecseseznamem"/>
        <w:numPr>
          <w:ilvl w:val="0"/>
          <w:numId w:val="14"/>
        </w:numPr>
        <w:tabs>
          <w:tab w:val="num" w:pos="2269"/>
        </w:tabs>
        <w:ind w:left="924" w:hanging="357"/>
        <w:contextualSpacing w:val="0"/>
      </w:pPr>
      <w:r w:rsidRPr="009E39BD">
        <w:t>Emisní podmínky (jako minimum u IN, které nejsou nabízeny s Prospektem),</w:t>
      </w:r>
    </w:p>
    <w:p w14:paraId="7EC43DDC" w14:textId="77777777" w:rsidR="00C02E8C" w:rsidRPr="009E39BD" w:rsidRDefault="00C02E8C" w:rsidP="00C02E8C">
      <w:pPr>
        <w:pStyle w:val="Odstavecseseznamem"/>
        <w:numPr>
          <w:ilvl w:val="0"/>
          <w:numId w:val="14"/>
        </w:numPr>
        <w:tabs>
          <w:tab w:val="num" w:pos="2269"/>
        </w:tabs>
        <w:ind w:left="924" w:hanging="357"/>
        <w:contextualSpacing w:val="0"/>
      </w:pPr>
      <w:r w:rsidRPr="009E39BD">
        <w:t>KID (u PRIIPs produktů),</w:t>
      </w:r>
    </w:p>
    <w:p w14:paraId="49862EE9" w14:textId="77777777" w:rsidR="00C02E8C" w:rsidRPr="009E39BD" w:rsidRDefault="00C02E8C" w:rsidP="00C02E8C">
      <w:pPr>
        <w:pStyle w:val="Odstavecseseznamem"/>
        <w:numPr>
          <w:ilvl w:val="0"/>
          <w:numId w:val="14"/>
        </w:numPr>
        <w:tabs>
          <w:tab w:val="num" w:pos="2269"/>
        </w:tabs>
        <w:ind w:left="924" w:hanging="357"/>
        <w:contextualSpacing w:val="0"/>
      </w:pPr>
      <w:r w:rsidRPr="009E39BD">
        <w:t>Infolist/Factsheet,</w:t>
      </w:r>
    </w:p>
    <w:p w14:paraId="3BC28294" w14:textId="77777777" w:rsidR="00C02E8C" w:rsidRDefault="00C02E8C" w:rsidP="00C02E8C">
      <w:pPr>
        <w:pStyle w:val="Odstavecseseznamem"/>
        <w:numPr>
          <w:ilvl w:val="0"/>
          <w:numId w:val="14"/>
        </w:numPr>
        <w:tabs>
          <w:tab w:val="num" w:pos="2269"/>
        </w:tabs>
        <w:ind w:left="924" w:hanging="357"/>
        <w:contextualSpacing w:val="0"/>
      </w:pPr>
      <w:r w:rsidRPr="009E39BD">
        <w:t>Podklady pro stanovení cílového trhu IN</w:t>
      </w:r>
      <w:r>
        <w:t>,</w:t>
      </w:r>
    </w:p>
    <w:p w14:paraId="30182AC1"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V případě provádění nabídky na zprostředkování nákupu již emitované akcie obchodované na organizovaném regulovaném trhu jsou informacemi nutnými pro realizaci distribuce IN ke klientovi informace na takovémto trhu zveřejněné.</w:t>
      </w:r>
    </w:p>
    <w:p w14:paraId="2A2CF06D" w14:textId="77777777" w:rsidR="00C02E8C" w:rsidRPr="009E39BD" w:rsidRDefault="00C02E8C" w:rsidP="00C02E8C">
      <w:pPr>
        <w:tabs>
          <w:tab w:val="num" w:pos="567"/>
          <w:tab w:val="num" w:pos="2269"/>
        </w:tabs>
        <w:ind w:left="567"/>
      </w:pPr>
      <w:r w:rsidRPr="009E39BD">
        <w:rPr>
          <w:b/>
        </w:rPr>
        <w:t>Segment klienta</w:t>
      </w:r>
      <w:r w:rsidRPr="009E39BD">
        <w:t xml:space="preserve"> – </w:t>
      </w:r>
      <w:r w:rsidRPr="0014336E">
        <w:t>dle segmentace Banky</w:t>
      </w:r>
      <w:r>
        <w:t>.</w:t>
      </w:r>
    </w:p>
    <w:p w14:paraId="191055EC" w14:textId="77777777" w:rsidR="00C02E8C" w:rsidRPr="009E39BD" w:rsidRDefault="00C02E8C" w:rsidP="00C02E8C">
      <w:pPr>
        <w:tabs>
          <w:tab w:val="num" w:pos="567"/>
          <w:tab w:val="num" w:pos="2269"/>
        </w:tabs>
        <w:ind w:left="567"/>
      </w:pPr>
      <w:r w:rsidRPr="009E39BD">
        <w:rPr>
          <w:b/>
        </w:rPr>
        <w:t xml:space="preserve">Zrychlený režim </w:t>
      </w:r>
      <w:r w:rsidRPr="009E39BD">
        <w:t>– jedná se o zjednodušenou formu schválení v předpisu blíže definovaných IN k distribuci.</w:t>
      </w:r>
    </w:p>
    <w:p w14:paraId="22BD0DC9" w14:textId="77777777" w:rsidR="00C02E8C" w:rsidRPr="009E39BD" w:rsidRDefault="00C02E8C" w:rsidP="00C02E8C">
      <w:pPr>
        <w:tabs>
          <w:tab w:val="num" w:pos="567"/>
          <w:tab w:val="num" w:pos="2269"/>
        </w:tabs>
        <w:ind w:left="567"/>
      </w:pPr>
      <w:r w:rsidRPr="009E39BD">
        <w:rPr>
          <w:b/>
        </w:rPr>
        <w:t xml:space="preserve">Podnět na implementaci </w:t>
      </w:r>
      <w:r w:rsidRPr="009E39BD">
        <w:t xml:space="preserve">– primárně definovaný požadavek zadavatele (jak je detailněji popsáno v kap. 2.2), jehož cílem je zajištění </w:t>
      </w:r>
      <w:r w:rsidRPr="0014336E">
        <w:t>nabízení nebo zprostředkování</w:t>
      </w:r>
      <w:r w:rsidRPr="009E39BD">
        <w:t xml:space="preserve"> IN.</w:t>
      </w:r>
    </w:p>
    <w:p w14:paraId="49C6A3B2" w14:textId="77777777" w:rsidR="00C02E8C" w:rsidRPr="009E39BD" w:rsidRDefault="00C02E8C" w:rsidP="00C02E8C">
      <w:pPr>
        <w:tabs>
          <w:tab w:val="num" w:pos="567"/>
          <w:tab w:val="num" w:pos="2269"/>
        </w:tabs>
        <w:ind w:left="567"/>
      </w:pPr>
      <w:r w:rsidRPr="009E39BD">
        <w:rPr>
          <w:b/>
        </w:rPr>
        <w:t xml:space="preserve">Produktový záměr </w:t>
      </w:r>
      <w:r w:rsidRPr="009E39BD">
        <w:t xml:space="preserve">– na ODIC přijatý </w:t>
      </w:r>
      <w:r>
        <w:t>Podnět na implementaci</w:t>
      </w:r>
      <w:r w:rsidRPr="009E39BD">
        <w:t xml:space="preserve">, který je zde rozpracován a dále předkládán </w:t>
      </w:r>
      <w:r w:rsidRPr="0014336E">
        <w:t xml:space="preserve">již ve formalizované podobě </w:t>
      </w:r>
      <w:r w:rsidRPr="009E39BD">
        <w:t>do příslušného schvalovacího procesu.</w:t>
      </w:r>
    </w:p>
    <w:p w14:paraId="6482CF09" w14:textId="77777777" w:rsidR="00C02E8C" w:rsidRPr="009E39BD" w:rsidRDefault="00C02E8C" w:rsidP="00C02E8C">
      <w:pPr>
        <w:tabs>
          <w:tab w:val="num" w:pos="567"/>
          <w:tab w:val="num" w:pos="2269"/>
        </w:tabs>
        <w:ind w:left="567"/>
      </w:pPr>
      <w:r w:rsidRPr="00741A2F">
        <w:rPr>
          <w:b/>
          <w:bCs/>
        </w:rPr>
        <w:t>DOB</w:t>
      </w:r>
      <w:r w:rsidRPr="009E39BD">
        <w:t xml:space="preserve"> – Divize obchodu</w:t>
      </w:r>
    </w:p>
    <w:p w14:paraId="094D7147" w14:textId="77777777" w:rsidR="00C02E8C" w:rsidRPr="009E39BD" w:rsidRDefault="00C02E8C" w:rsidP="00C02E8C">
      <w:pPr>
        <w:tabs>
          <w:tab w:val="num" w:pos="567"/>
          <w:tab w:val="num" w:pos="2269"/>
        </w:tabs>
        <w:ind w:left="567"/>
      </w:pPr>
      <w:r w:rsidRPr="00741A2F">
        <w:rPr>
          <w:b/>
          <w:bCs/>
        </w:rPr>
        <w:t>ONE</w:t>
      </w:r>
      <w:r w:rsidRPr="009E39BD">
        <w:t xml:space="preserve"> – Odbor nových emisí</w:t>
      </w:r>
    </w:p>
    <w:p w14:paraId="7AFF5E92" w14:textId="77777777" w:rsidR="00C02E8C" w:rsidRPr="009E39BD" w:rsidRDefault="00C02E8C" w:rsidP="00C02E8C">
      <w:pPr>
        <w:tabs>
          <w:tab w:val="num" w:pos="567"/>
          <w:tab w:val="num" w:pos="2269"/>
        </w:tabs>
        <w:ind w:left="567"/>
      </w:pPr>
      <w:r w:rsidRPr="00741A2F">
        <w:rPr>
          <w:b/>
          <w:bCs/>
        </w:rPr>
        <w:t>ODIC</w:t>
      </w:r>
      <w:r w:rsidRPr="009E39BD">
        <w:t xml:space="preserve"> – Oddělení investiční centrum</w:t>
      </w:r>
    </w:p>
    <w:p w14:paraId="31DC0691" w14:textId="77777777" w:rsidR="00C02E8C" w:rsidRPr="009E39BD" w:rsidRDefault="00C02E8C" w:rsidP="00C02E8C">
      <w:pPr>
        <w:tabs>
          <w:tab w:val="num" w:pos="567"/>
          <w:tab w:val="num" w:pos="2269"/>
        </w:tabs>
        <w:ind w:left="567"/>
      </w:pPr>
      <w:r w:rsidRPr="00741A2F">
        <w:rPr>
          <w:b/>
          <w:bCs/>
        </w:rPr>
        <w:t>OFTCU</w:t>
      </w:r>
      <w:r w:rsidRPr="009E39BD">
        <w:t xml:space="preserve"> – Odbor finančních trhů ČR – cizí účet</w:t>
      </w:r>
    </w:p>
    <w:p w14:paraId="60F4C882" w14:textId="77777777" w:rsidR="00C02E8C" w:rsidRPr="009E39BD" w:rsidRDefault="00C02E8C" w:rsidP="00C02E8C">
      <w:pPr>
        <w:tabs>
          <w:tab w:val="num" w:pos="567"/>
          <w:tab w:val="num" w:pos="2269"/>
        </w:tabs>
        <w:ind w:left="567"/>
      </w:pPr>
      <w:r w:rsidRPr="00741A2F">
        <w:rPr>
          <w:b/>
          <w:bCs/>
        </w:rPr>
        <w:t>OEP</w:t>
      </w:r>
      <w:r w:rsidRPr="009E39BD">
        <w:t xml:space="preserve"> – Odbor externího prodeje ČR</w:t>
      </w:r>
    </w:p>
    <w:p w14:paraId="29BD0948" w14:textId="77777777" w:rsidR="00C02E8C" w:rsidRPr="009E39BD" w:rsidRDefault="00C02E8C" w:rsidP="00C02E8C">
      <w:pPr>
        <w:tabs>
          <w:tab w:val="num" w:pos="567"/>
          <w:tab w:val="num" w:pos="2269"/>
        </w:tabs>
        <w:ind w:left="567"/>
      </w:pPr>
      <w:r w:rsidRPr="00741A2F">
        <w:rPr>
          <w:b/>
          <w:bCs/>
        </w:rPr>
        <w:t>OŘR</w:t>
      </w:r>
      <w:r w:rsidRPr="009E39BD">
        <w:t xml:space="preserve"> – Odbor řízení rizik</w:t>
      </w:r>
    </w:p>
    <w:p w14:paraId="5419D1C4" w14:textId="77777777" w:rsidR="00C02E8C" w:rsidRDefault="00C02E8C" w:rsidP="00C02E8C">
      <w:pPr>
        <w:tabs>
          <w:tab w:val="num" w:pos="567"/>
          <w:tab w:val="num" w:pos="2269"/>
        </w:tabs>
        <w:ind w:left="567"/>
      </w:pPr>
      <w:r w:rsidRPr="00BF4508">
        <w:rPr>
          <w:b/>
          <w:bCs/>
        </w:rPr>
        <w:t>OCA</w:t>
      </w:r>
      <w:r w:rsidRPr="009E39BD">
        <w:t xml:space="preserve"> – Odbor compliance</w:t>
      </w:r>
    </w:p>
    <w:p w14:paraId="7D913865" w14:textId="77777777" w:rsidR="00C02E8C" w:rsidRPr="009E39BD" w:rsidRDefault="00C02E8C" w:rsidP="00C02E8C">
      <w:pPr>
        <w:tabs>
          <w:tab w:val="num" w:pos="567"/>
          <w:tab w:val="num" w:pos="2269"/>
        </w:tabs>
        <w:ind w:left="567"/>
      </w:pPr>
      <w:r w:rsidRPr="00BF4508">
        <w:rPr>
          <w:b/>
          <w:bCs/>
        </w:rPr>
        <w:t>ODRE</w:t>
      </w:r>
      <w:r>
        <w:t xml:space="preserve"> – Oddělení Research</w:t>
      </w:r>
    </w:p>
    <w:p w14:paraId="472D85FC" w14:textId="77777777" w:rsidR="00C02E8C" w:rsidRPr="009E39BD" w:rsidRDefault="00C02E8C" w:rsidP="00C02E8C">
      <w:pPr>
        <w:pStyle w:val="Nadpis1"/>
      </w:pPr>
      <w:bookmarkStart w:id="46" w:name="_Toc89762376"/>
      <w:r w:rsidRPr="009E39BD">
        <w:t>Správa životního cyklu produktu</w:t>
      </w:r>
      <w:bookmarkEnd w:id="46"/>
    </w:p>
    <w:p w14:paraId="3879E1CC" w14:textId="77777777" w:rsidR="00C02E8C" w:rsidRPr="009E39BD" w:rsidRDefault="00C02E8C" w:rsidP="00C02E8C">
      <w:pPr>
        <w:pStyle w:val="Nadpis2"/>
      </w:pPr>
      <w:bookmarkStart w:id="47" w:name="_Toc166985878"/>
      <w:bookmarkStart w:id="48" w:name="_Toc167010858"/>
      <w:bookmarkStart w:id="49" w:name="_Toc166985879"/>
      <w:bookmarkStart w:id="50" w:name="_Toc167010859"/>
      <w:bookmarkStart w:id="51" w:name="_Toc166985880"/>
      <w:bookmarkStart w:id="52" w:name="_Toc167010860"/>
      <w:bookmarkStart w:id="53" w:name="_Toc166985881"/>
      <w:bookmarkStart w:id="54" w:name="_Toc167010861"/>
      <w:bookmarkStart w:id="55" w:name="_Toc166985882"/>
      <w:bookmarkStart w:id="56" w:name="_Toc167010862"/>
      <w:bookmarkStart w:id="57" w:name="_Toc166985883"/>
      <w:bookmarkStart w:id="58" w:name="_Toc167010863"/>
      <w:bookmarkStart w:id="59" w:name="_Toc166985884"/>
      <w:bookmarkStart w:id="60" w:name="_Toc167010864"/>
      <w:bookmarkStart w:id="61" w:name="_Toc166985885"/>
      <w:bookmarkStart w:id="62" w:name="_Toc167010865"/>
      <w:bookmarkStart w:id="63" w:name="_Toc166985886"/>
      <w:bookmarkStart w:id="64" w:name="_Toc167010866"/>
      <w:bookmarkStart w:id="65" w:name="_Toc166985887"/>
      <w:bookmarkStart w:id="66" w:name="_Toc167010867"/>
      <w:bookmarkStart w:id="67" w:name="_Toc166985888"/>
      <w:bookmarkStart w:id="68" w:name="_Toc167010868"/>
      <w:bookmarkStart w:id="69" w:name="_Toc166985889"/>
      <w:bookmarkStart w:id="70" w:name="_Toc167010869"/>
      <w:bookmarkStart w:id="71" w:name="_Toc166985890"/>
      <w:bookmarkStart w:id="72" w:name="_Toc167010870"/>
      <w:bookmarkStart w:id="73" w:name="_Toc166985891"/>
      <w:bookmarkStart w:id="74" w:name="_Toc167010871"/>
      <w:bookmarkStart w:id="75" w:name="_Toc166985892"/>
      <w:bookmarkStart w:id="76" w:name="_Toc167010872"/>
      <w:bookmarkStart w:id="77" w:name="_Toc166985893"/>
      <w:bookmarkStart w:id="78" w:name="_Toc167010873"/>
      <w:bookmarkStart w:id="79" w:name="_Toc166985894"/>
      <w:bookmarkStart w:id="80" w:name="_Toc167010874"/>
      <w:bookmarkStart w:id="81" w:name="_Toc166985895"/>
      <w:bookmarkStart w:id="82" w:name="_Toc167010875"/>
      <w:bookmarkStart w:id="83" w:name="_Toc166985896"/>
      <w:bookmarkStart w:id="84" w:name="_Toc167010876"/>
      <w:bookmarkStart w:id="85" w:name="_Toc166985897"/>
      <w:bookmarkStart w:id="86" w:name="_Toc167010877"/>
      <w:bookmarkStart w:id="87" w:name="_Toc166985898"/>
      <w:bookmarkStart w:id="88" w:name="_Toc167010878"/>
      <w:bookmarkStart w:id="89" w:name="_Toc89762377"/>
      <w:bookmarkStart w:id="90" w:name="_Toc435837108"/>
      <w:bookmarkStart w:id="91" w:name="_Ref435934141"/>
      <w:bookmarkStart w:id="92" w:name="_Ref436203067"/>
      <w:bookmarkStart w:id="93" w:name="_Ref439642966"/>
      <w:bookmarkStart w:id="94" w:name="_Toc63760786"/>
      <w:bookmarkStart w:id="95" w:name="_Toc9078545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9E39BD">
        <w:t>Role banky při implementaci IN</w:t>
      </w:r>
      <w:bookmarkEnd w:id="89"/>
    </w:p>
    <w:p w14:paraId="36D8335D" w14:textId="77777777" w:rsidR="00C02E8C" w:rsidRPr="009E39BD" w:rsidRDefault="00C02E8C" w:rsidP="00C02E8C">
      <w:pPr>
        <w:tabs>
          <w:tab w:val="num" w:pos="567"/>
          <w:tab w:val="num" w:pos="2269"/>
        </w:tabs>
        <w:ind w:left="567"/>
      </w:pPr>
      <w:r w:rsidRPr="009E39BD">
        <w:t>Banka je v pozici tvůrce IN a následně distributora.</w:t>
      </w:r>
    </w:p>
    <w:p w14:paraId="1F3751FA" w14:textId="77777777" w:rsidR="00C02E8C" w:rsidRPr="009E39BD" w:rsidRDefault="00C02E8C" w:rsidP="00C02E8C">
      <w:pPr>
        <w:tabs>
          <w:tab w:val="num" w:pos="567"/>
          <w:tab w:val="num" w:pos="2269"/>
        </w:tabs>
        <w:ind w:left="567"/>
      </w:pPr>
      <w:r w:rsidRPr="009E39BD">
        <w:t xml:space="preserve">Banka je v pozici distributora IN jiného tvůrce - Banka je finančně motivována nabízet IN (přijímá pobídky od emitenta či od jiného subjektu) a aktivně jej nabízí klientům. </w:t>
      </w:r>
    </w:p>
    <w:p w14:paraId="28509979" w14:textId="77777777" w:rsidR="00C02E8C" w:rsidRPr="009E39BD" w:rsidRDefault="00C02E8C" w:rsidP="00C02E8C">
      <w:pPr>
        <w:numPr>
          <w:ilvl w:val="0"/>
          <w:numId w:val="0"/>
        </w:numPr>
        <w:tabs>
          <w:tab w:val="num" w:pos="2269"/>
        </w:tabs>
        <w:ind w:left="567" w:hanging="567"/>
      </w:pPr>
      <w:r w:rsidRPr="009E39BD">
        <w:tab/>
      </w:r>
      <w:r w:rsidRPr="0014336E">
        <w:t>Pro vybrané produkty (</w:t>
      </w:r>
      <w:r>
        <w:t>p</w:t>
      </w:r>
      <w:r w:rsidRPr="009E39BD">
        <w:t>rodukty těch investičních společností, se kterými má Banka uzavřenu distribuční smlouvu a zároveň již probíhá nabízení obdobných produktů této investiční společnosti</w:t>
      </w:r>
      <w:r>
        <w:t xml:space="preserve">) </w:t>
      </w:r>
      <w:r w:rsidRPr="0014336E">
        <w:t xml:space="preserve">se může využít tzv. </w:t>
      </w:r>
      <w:r>
        <w:t>Z</w:t>
      </w:r>
      <w:r w:rsidRPr="0014336E">
        <w:t>rychlený režim, který je popsán v kapitole 2.3.3</w:t>
      </w:r>
      <w:r w:rsidRPr="009E39BD">
        <w:t>.</w:t>
      </w:r>
    </w:p>
    <w:p w14:paraId="371C6C88" w14:textId="77777777" w:rsidR="00C02E8C" w:rsidRPr="009E39BD" w:rsidRDefault="00C02E8C" w:rsidP="00C02E8C">
      <w:pPr>
        <w:tabs>
          <w:tab w:val="num" w:pos="567"/>
          <w:tab w:val="num" w:pos="2269"/>
        </w:tabs>
        <w:ind w:left="567"/>
      </w:pPr>
      <w:r w:rsidRPr="009E39BD">
        <w:t xml:space="preserve">Banka je v pozici </w:t>
      </w:r>
      <w:r>
        <w:t>Zprostředkovatele</w:t>
      </w:r>
      <w:r w:rsidRPr="009E39BD">
        <w:t xml:space="preserve"> IN.</w:t>
      </w:r>
    </w:p>
    <w:p w14:paraId="587C7260" w14:textId="77777777" w:rsidR="00C02E8C" w:rsidRPr="009E39BD" w:rsidRDefault="00C02E8C" w:rsidP="00C02E8C">
      <w:pPr>
        <w:tabs>
          <w:tab w:val="num" w:pos="567"/>
          <w:tab w:val="num" w:pos="2269"/>
        </w:tabs>
        <w:ind w:left="567"/>
      </w:pPr>
      <w:r w:rsidRPr="009E39BD">
        <w:t>Ostatní – jedná se o Výborem pro investiční nástroje (VIN) individuálně schvalované produkty. VIN určí další individuální postup pro implementaci takovéhoto produktu – např. formou předložení Produktového záměru na vypracování studie proveditelnosti, nebo jinou individuálně stanovenou formou.</w:t>
      </w:r>
      <w:r>
        <w:t xml:space="preserve"> </w:t>
      </w:r>
      <w:r w:rsidRPr="0014336E">
        <w:t>Součástí je i návrh, zda se bude jednat o IN v režimu nabízení nebo zprostředkování.</w:t>
      </w:r>
    </w:p>
    <w:p w14:paraId="393CA5F7" w14:textId="77777777" w:rsidR="00C02E8C" w:rsidRPr="009E39BD" w:rsidRDefault="00C02E8C" w:rsidP="00C02E8C">
      <w:pPr>
        <w:pStyle w:val="Nadpis2"/>
      </w:pPr>
      <w:bookmarkStart w:id="96" w:name="_Toc89762378"/>
      <w:r w:rsidRPr="009E39BD">
        <w:t>Podnět na implementaci IN</w:t>
      </w:r>
      <w:bookmarkEnd w:id="96"/>
    </w:p>
    <w:p w14:paraId="66B7CD72" w14:textId="77777777" w:rsidR="00C02E8C" w:rsidRPr="009E39BD" w:rsidRDefault="00C02E8C" w:rsidP="00C02E8C">
      <w:pPr>
        <w:tabs>
          <w:tab w:val="num" w:pos="567"/>
          <w:tab w:val="num" w:pos="2269"/>
        </w:tabs>
        <w:ind w:left="567"/>
      </w:pPr>
      <w:r w:rsidRPr="009E39BD">
        <w:t xml:space="preserve">Podnět se týká investičního nástroje, který Banka </w:t>
      </w:r>
      <w:r>
        <w:t xml:space="preserve">zatím </w:t>
      </w:r>
      <w:r w:rsidRPr="009E39BD">
        <w:t>nenabízí</w:t>
      </w:r>
      <w:r>
        <w:t xml:space="preserve"> </w:t>
      </w:r>
      <w:r w:rsidRPr="0014336E">
        <w:t>- nemá jej v produktovém portfoliu a zároveň pro něj neplatí Zrychlený režim, který je popsán v kapitole 2.3.3</w:t>
      </w:r>
      <w:r w:rsidRPr="009E39BD">
        <w:t>.</w:t>
      </w:r>
    </w:p>
    <w:p w14:paraId="34516AA7" w14:textId="77777777" w:rsidR="00C02E8C" w:rsidRPr="009E39BD" w:rsidRDefault="00C02E8C" w:rsidP="00C02E8C">
      <w:pPr>
        <w:tabs>
          <w:tab w:val="num" w:pos="567"/>
          <w:tab w:val="num" w:pos="2269"/>
        </w:tabs>
        <w:ind w:left="567"/>
      </w:pPr>
      <w:r w:rsidRPr="009E39BD">
        <w:t xml:space="preserve">Podnět bývá zpravidla iniciován: </w:t>
      </w:r>
    </w:p>
    <w:p w14:paraId="32755326" w14:textId="77777777" w:rsidR="00C02E8C" w:rsidRPr="009E39BD" w:rsidRDefault="00C02E8C" w:rsidP="00C02E8C">
      <w:pPr>
        <w:pStyle w:val="Odstavecseseznamem"/>
        <w:numPr>
          <w:ilvl w:val="0"/>
          <w:numId w:val="14"/>
        </w:numPr>
        <w:tabs>
          <w:tab w:val="num" w:pos="2269"/>
        </w:tabs>
        <w:ind w:left="924" w:hanging="357"/>
        <w:contextualSpacing w:val="0"/>
      </w:pPr>
      <w:r w:rsidRPr="009E39BD">
        <w:t>pracovníkem Divize obchodu, např. na základě poptávky klientů,</w:t>
      </w:r>
    </w:p>
    <w:p w14:paraId="5A03A169" w14:textId="77777777" w:rsidR="00C02E8C" w:rsidRDefault="00C02E8C" w:rsidP="00C02E8C">
      <w:pPr>
        <w:pStyle w:val="Odstavecseseznamem"/>
        <w:numPr>
          <w:ilvl w:val="0"/>
          <w:numId w:val="14"/>
        </w:numPr>
        <w:tabs>
          <w:tab w:val="num" w:pos="2269"/>
        </w:tabs>
        <w:ind w:left="924" w:hanging="357"/>
        <w:contextualSpacing w:val="0"/>
      </w:pPr>
      <w:r w:rsidRPr="009E39BD">
        <w:lastRenderedPageBreak/>
        <w:t>pracovníkem Divize finančních trhů na základě monitoringu konkurence, finančních trhů nebo na základě poptávky klienta,</w:t>
      </w:r>
    </w:p>
    <w:p w14:paraId="5854135B" w14:textId="77777777" w:rsidR="00C02E8C" w:rsidRPr="009E39BD" w:rsidRDefault="00C02E8C" w:rsidP="00C02E8C">
      <w:pPr>
        <w:pStyle w:val="Odstavecseseznamem"/>
        <w:numPr>
          <w:ilvl w:val="0"/>
          <w:numId w:val="14"/>
        </w:numPr>
        <w:tabs>
          <w:tab w:val="num" w:pos="2269"/>
        </w:tabs>
        <w:ind w:left="924" w:hanging="357"/>
        <w:contextualSpacing w:val="0"/>
      </w:pPr>
      <w:r>
        <w:t>pracovníkem ONE,</w:t>
      </w:r>
      <w:r w:rsidRPr="009E39BD">
        <w:t xml:space="preserve"> </w:t>
      </w:r>
    </w:p>
    <w:p w14:paraId="2C777E93" w14:textId="77777777" w:rsidR="00C02E8C" w:rsidRPr="009E39BD" w:rsidRDefault="00C02E8C" w:rsidP="00C02E8C">
      <w:pPr>
        <w:pStyle w:val="Odstavecseseznamem"/>
        <w:numPr>
          <w:ilvl w:val="0"/>
          <w:numId w:val="14"/>
        </w:numPr>
        <w:tabs>
          <w:tab w:val="num" w:pos="2269"/>
        </w:tabs>
        <w:ind w:left="924" w:hanging="357"/>
        <w:contextualSpacing w:val="0"/>
      </w:pPr>
      <w:r w:rsidRPr="009E39BD">
        <w:t>kterýmkoliv pracovníkem Banky s unikátní myšlenkou či nápadem.</w:t>
      </w:r>
    </w:p>
    <w:p w14:paraId="7F3F922F" w14:textId="77777777" w:rsidR="00C02E8C" w:rsidRPr="009E39BD" w:rsidRDefault="00C02E8C" w:rsidP="00C02E8C">
      <w:pPr>
        <w:tabs>
          <w:tab w:val="num" w:pos="567"/>
          <w:tab w:val="num" w:pos="2269"/>
        </w:tabs>
        <w:ind w:left="567"/>
      </w:pPr>
      <w:r w:rsidRPr="009E39BD">
        <w:t xml:space="preserve">Písemný podnět zasílá iniciátor na ODIC. </w:t>
      </w:r>
    </w:p>
    <w:p w14:paraId="44D80B89" w14:textId="77777777" w:rsidR="00C02E8C" w:rsidRPr="009E39BD" w:rsidRDefault="00C02E8C" w:rsidP="00C02E8C">
      <w:pPr>
        <w:tabs>
          <w:tab w:val="num" w:pos="567"/>
          <w:tab w:val="num" w:pos="2269"/>
        </w:tabs>
        <w:ind w:left="567"/>
      </w:pPr>
      <w:r w:rsidRPr="009E39BD">
        <w:t xml:space="preserve">Podnět </w:t>
      </w:r>
      <w:r>
        <w:t>k</w:t>
      </w:r>
      <w:r w:rsidRPr="009E39BD">
        <w:t xml:space="preserve"> implementaci IN zpravidla obsahuje: </w:t>
      </w:r>
    </w:p>
    <w:p w14:paraId="2F3F675A"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identifikaci IN – název, ISIN, emitent, respektive investiční společnost, která je obhospodařovatelem, </w:t>
      </w:r>
    </w:p>
    <w:p w14:paraId="2E6CC6B5" w14:textId="77777777" w:rsidR="00C02E8C" w:rsidRPr="009E39BD" w:rsidRDefault="00C02E8C" w:rsidP="00C02E8C">
      <w:pPr>
        <w:pStyle w:val="Odstavecseseznamem"/>
        <w:numPr>
          <w:ilvl w:val="0"/>
          <w:numId w:val="14"/>
        </w:numPr>
        <w:tabs>
          <w:tab w:val="num" w:pos="2269"/>
        </w:tabs>
        <w:ind w:left="924" w:hanging="357"/>
        <w:contextualSpacing w:val="0"/>
      </w:pPr>
      <w:r w:rsidRPr="009E39BD">
        <w:t>popis IN – o jaký investiční nástroj se jedná, stručný popis obchodních parametrů,</w:t>
      </w:r>
    </w:p>
    <w:p w14:paraId="1E0FCD85" w14:textId="77777777" w:rsidR="00C02E8C" w:rsidRPr="009E39BD" w:rsidRDefault="00C02E8C" w:rsidP="00C02E8C">
      <w:pPr>
        <w:pStyle w:val="Odstavecseseznamem"/>
        <w:numPr>
          <w:ilvl w:val="0"/>
          <w:numId w:val="14"/>
        </w:numPr>
        <w:tabs>
          <w:tab w:val="num" w:pos="2269"/>
        </w:tabs>
        <w:ind w:left="924" w:hanging="357"/>
        <w:contextualSpacing w:val="0"/>
      </w:pPr>
      <w:r w:rsidRPr="009E39BD">
        <w:t>odůvodnění požadavku – jednoduchý produktový záměr včetně definování segmentu klienta a navrhovatelem odhadovaný objem obchodů za období prvních 12i měsíců nabízení, případné další přínosy pro Banku,</w:t>
      </w:r>
    </w:p>
    <w:p w14:paraId="5F4C30E5" w14:textId="77777777" w:rsidR="00C02E8C" w:rsidRPr="009E39BD" w:rsidRDefault="00C02E8C" w:rsidP="00C02E8C">
      <w:pPr>
        <w:pStyle w:val="Odstavecseseznamem"/>
        <w:numPr>
          <w:ilvl w:val="0"/>
          <w:numId w:val="14"/>
        </w:numPr>
        <w:tabs>
          <w:tab w:val="num" w:pos="2269"/>
        </w:tabs>
        <w:ind w:left="924" w:hanging="357"/>
        <w:contextualSpacing w:val="0"/>
      </w:pPr>
      <w:r w:rsidRPr="009E39BD">
        <w:t>kontakt na navrhovatele.</w:t>
      </w:r>
    </w:p>
    <w:p w14:paraId="08FCA945" w14:textId="77777777" w:rsidR="00C02E8C" w:rsidRPr="009E39BD" w:rsidRDefault="00C02E8C" w:rsidP="00C02E8C">
      <w:pPr>
        <w:tabs>
          <w:tab w:val="num" w:pos="567"/>
          <w:tab w:val="num" w:pos="2269"/>
        </w:tabs>
        <w:ind w:left="567"/>
      </w:pPr>
      <w:r w:rsidRPr="009E39BD">
        <w:t xml:space="preserve">Podnět na implementaci (tvorbu) ještě neexistujícího IN </w:t>
      </w:r>
      <w:r>
        <w:t>by měl</w:t>
      </w:r>
      <w:r w:rsidRPr="009E39BD">
        <w:t xml:space="preserve"> navíc dle stupně rozpracovanosti obsahovat:</w:t>
      </w:r>
    </w:p>
    <w:p w14:paraId="5FF67B01" w14:textId="77777777" w:rsidR="00C02E8C" w:rsidRPr="009E39BD" w:rsidRDefault="00C02E8C" w:rsidP="00C02E8C">
      <w:pPr>
        <w:pStyle w:val="Odstavecseseznamem"/>
        <w:numPr>
          <w:ilvl w:val="0"/>
          <w:numId w:val="14"/>
        </w:numPr>
        <w:tabs>
          <w:tab w:val="num" w:pos="2269"/>
        </w:tabs>
        <w:ind w:left="924" w:hanging="357"/>
        <w:contextualSpacing w:val="0"/>
      </w:pPr>
      <w:r w:rsidRPr="009E39BD">
        <w:t>minimálně parametry dle bodu (4), které jsou navrhovateli známy, včetně odhadovaného objemu obchodu (pokud je to možné),</w:t>
      </w:r>
    </w:p>
    <w:p w14:paraId="0DD9C562" w14:textId="77777777" w:rsidR="00C02E8C" w:rsidRPr="009E39BD" w:rsidRDefault="00C02E8C" w:rsidP="00C02E8C">
      <w:pPr>
        <w:pStyle w:val="Odstavecseseznamem"/>
        <w:numPr>
          <w:ilvl w:val="0"/>
          <w:numId w:val="14"/>
        </w:numPr>
        <w:tabs>
          <w:tab w:val="num" w:pos="2269"/>
        </w:tabs>
        <w:ind w:left="924" w:hanging="357"/>
        <w:contextualSpacing w:val="0"/>
      </w:pPr>
      <w:r w:rsidRPr="009E39BD">
        <w:t>již existující známé výsledky předběžných jednání s případnými třetími stranami (emitentem, aranžérem, aj….).</w:t>
      </w:r>
    </w:p>
    <w:p w14:paraId="76760947" w14:textId="77777777" w:rsidR="00C02E8C" w:rsidRPr="009E39BD" w:rsidRDefault="00C02E8C" w:rsidP="00C02E8C">
      <w:pPr>
        <w:numPr>
          <w:ilvl w:val="0"/>
          <w:numId w:val="0"/>
        </w:numPr>
        <w:ind w:left="567"/>
      </w:pPr>
      <w:r w:rsidRPr="009E39BD">
        <w:t>Předkladatel podnětu je povinen na vyžádání poskytnout ODIC součinnost při implementaci IN.</w:t>
      </w:r>
    </w:p>
    <w:p w14:paraId="294EF057" w14:textId="77777777" w:rsidR="00C02E8C" w:rsidRPr="009E39BD" w:rsidRDefault="00C02E8C" w:rsidP="00C02E8C">
      <w:pPr>
        <w:tabs>
          <w:tab w:val="num" w:pos="567"/>
          <w:tab w:val="num" w:pos="2269"/>
        </w:tabs>
        <w:ind w:left="567"/>
        <w:rPr>
          <w:u w:val="single"/>
        </w:rPr>
      </w:pPr>
      <w:r w:rsidRPr="009E39BD">
        <w:rPr>
          <w:u w:val="single"/>
        </w:rPr>
        <w:t>Podnět na implementaci IN, kde Banka zajišťuje Zprostředkování IN,</w:t>
      </w:r>
      <w:r w:rsidRPr="009E39BD">
        <w:t xml:space="preserve"> nemá formalizovanou podobu. Jedná se o nové, na obdobné bázi již běžně obchodované investiční nástroje </w:t>
      </w:r>
      <w:r w:rsidRPr="009E39BD">
        <w:rPr>
          <w:b/>
        </w:rPr>
        <w:t>na schválených trzích</w:t>
      </w:r>
      <w:r w:rsidRPr="009E39BD">
        <w:t xml:space="preserve">, které jsou (mají být) Bankou pro klienta obstarány v rámci „Obchodování s cennými papíry“, nejsou ale ještě evidovány v bankovních systémech. Implementací se rozumí zadání do interních systémů Banky tak, aby bylo možno realizovat obchod a činnosti s ním spojené. </w:t>
      </w:r>
      <w:r w:rsidRPr="0014336E">
        <w:t xml:space="preserve">Zadání do systémů Banky je řešeno v předpise </w:t>
      </w:r>
      <w:r>
        <w:t>"</w:t>
      </w:r>
      <w:r w:rsidRPr="0014336E">
        <w:t>7/2014 Oceňování a správa finančních instrumentů</w:t>
      </w:r>
      <w:r>
        <w:t>"</w:t>
      </w:r>
      <w:r w:rsidRPr="0014336E">
        <w:t>.</w:t>
      </w:r>
      <w:r w:rsidRPr="009E39BD">
        <w:t xml:space="preserve"> </w:t>
      </w:r>
      <w:r w:rsidRPr="009E39BD">
        <w:rPr>
          <w:u w:val="single"/>
        </w:rPr>
        <w:t xml:space="preserve"> </w:t>
      </w:r>
    </w:p>
    <w:p w14:paraId="546703B5" w14:textId="77777777" w:rsidR="00C02E8C" w:rsidRPr="009E39BD" w:rsidRDefault="00C02E8C" w:rsidP="00C02E8C">
      <w:pPr>
        <w:tabs>
          <w:tab w:val="num" w:pos="567"/>
        </w:tabs>
        <w:ind w:left="567"/>
      </w:pPr>
      <w:r w:rsidRPr="009E39BD">
        <w:t>Podané podněty ODIC archivuje v elektronické podobě</w:t>
      </w:r>
      <w:r>
        <w:t xml:space="preserve"> </w:t>
      </w:r>
      <w:r w:rsidRPr="00BF4508">
        <w:rPr>
          <w:highlight w:val="yellow"/>
        </w:rPr>
        <w:t>ve složce věnované příslušnému investičnímu nástroji na disku P v adresáři ODIC. Podnět na implementaci ve Zrychleném režimu je v e-mailu.</w:t>
      </w:r>
      <w:r>
        <w:t xml:space="preserve"> </w:t>
      </w:r>
    </w:p>
    <w:p w14:paraId="0F06293F" w14:textId="77777777" w:rsidR="00C02E8C" w:rsidRPr="009E39BD" w:rsidRDefault="00C02E8C" w:rsidP="00C02E8C">
      <w:pPr>
        <w:pStyle w:val="Nadpis2"/>
      </w:pPr>
      <w:bookmarkStart w:id="97" w:name="_Toc281479666"/>
      <w:bookmarkStart w:id="98" w:name="_Toc281484685"/>
      <w:bookmarkStart w:id="99" w:name="_Toc281552440"/>
      <w:bookmarkStart w:id="100" w:name="_Toc281553507"/>
      <w:bookmarkStart w:id="101" w:name="_Toc281812209"/>
      <w:bookmarkStart w:id="102" w:name="_Toc281997995"/>
      <w:bookmarkStart w:id="103" w:name="_Toc281479671"/>
      <w:bookmarkStart w:id="104" w:name="_Toc281484690"/>
      <w:bookmarkStart w:id="105" w:name="_Toc281552445"/>
      <w:bookmarkStart w:id="106" w:name="_Toc281553512"/>
      <w:bookmarkStart w:id="107" w:name="_Toc281812214"/>
      <w:bookmarkStart w:id="108" w:name="_Toc281998000"/>
      <w:bookmarkStart w:id="109" w:name="_Toc281479673"/>
      <w:bookmarkStart w:id="110" w:name="_Toc281484692"/>
      <w:bookmarkStart w:id="111" w:name="_Toc281552447"/>
      <w:bookmarkStart w:id="112" w:name="_Toc281553514"/>
      <w:bookmarkStart w:id="113" w:name="_Toc281812216"/>
      <w:bookmarkStart w:id="114" w:name="_Toc281998002"/>
      <w:bookmarkStart w:id="115" w:name="_Toc281479674"/>
      <w:bookmarkStart w:id="116" w:name="_Toc281484693"/>
      <w:bookmarkStart w:id="117" w:name="_Toc281552448"/>
      <w:bookmarkStart w:id="118" w:name="_Toc281553515"/>
      <w:bookmarkStart w:id="119" w:name="_Toc281812217"/>
      <w:bookmarkStart w:id="120" w:name="_Toc281998003"/>
      <w:bookmarkStart w:id="121" w:name="_Toc281479675"/>
      <w:bookmarkStart w:id="122" w:name="_Toc281484694"/>
      <w:bookmarkStart w:id="123" w:name="_Toc281552449"/>
      <w:bookmarkStart w:id="124" w:name="_Toc281553516"/>
      <w:bookmarkStart w:id="125" w:name="_Toc281812218"/>
      <w:bookmarkStart w:id="126" w:name="_Toc281998004"/>
      <w:bookmarkStart w:id="127" w:name="_Toc281479676"/>
      <w:bookmarkStart w:id="128" w:name="_Toc281484695"/>
      <w:bookmarkStart w:id="129" w:name="_Toc281552450"/>
      <w:bookmarkStart w:id="130" w:name="_Toc281553517"/>
      <w:bookmarkStart w:id="131" w:name="_Toc281812219"/>
      <w:bookmarkStart w:id="132" w:name="_Toc281998005"/>
      <w:bookmarkStart w:id="133" w:name="_Toc281479679"/>
      <w:bookmarkStart w:id="134" w:name="_Toc281484698"/>
      <w:bookmarkStart w:id="135" w:name="_Toc281552453"/>
      <w:bookmarkStart w:id="136" w:name="_Toc281553520"/>
      <w:bookmarkStart w:id="137" w:name="_Toc281812222"/>
      <w:bookmarkStart w:id="138" w:name="_Toc281998008"/>
      <w:bookmarkStart w:id="139" w:name="_Toc281479681"/>
      <w:bookmarkStart w:id="140" w:name="_Toc281484700"/>
      <w:bookmarkStart w:id="141" w:name="_Toc281552455"/>
      <w:bookmarkStart w:id="142" w:name="_Toc281553522"/>
      <w:bookmarkStart w:id="143" w:name="_Toc281812224"/>
      <w:bookmarkStart w:id="144" w:name="_Toc281998010"/>
      <w:bookmarkStart w:id="145" w:name="_Toc281479682"/>
      <w:bookmarkStart w:id="146" w:name="_Toc281484701"/>
      <w:bookmarkStart w:id="147" w:name="_Toc281552456"/>
      <w:bookmarkStart w:id="148" w:name="_Toc281553523"/>
      <w:bookmarkStart w:id="149" w:name="_Toc281812225"/>
      <w:bookmarkStart w:id="150" w:name="_Toc281998011"/>
      <w:bookmarkStart w:id="151" w:name="_Toc281479687"/>
      <w:bookmarkStart w:id="152" w:name="_Toc281484706"/>
      <w:bookmarkStart w:id="153" w:name="_Toc281552461"/>
      <w:bookmarkStart w:id="154" w:name="_Toc281553528"/>
      <w:bookmarkStart w:id="155" w:name="_Toc281812230"/>
      <w:bookmarkStart w:id="156" w:name="_Toc281998016"/>
      <w:bookmarkStart w:id="157" w:name="_Toc281479692"/>
      <w:bookmarkStart w:id="158" w:name="_Toc281484711"/>
      <w:bookmarkStart w:id="159" w:name="_Toc281552466"/>
      <w:bookmarkStart w:id="160" w:name="_Toc281553533"/>
      <w:bookmarkStart w:id="161" w:name="_Toc281812235"/>
      <w:bookmarkStart w:id="162" w:name="_Toc281998021"/>
      <w:bookmarkStart w:id="163" w:name="_Toc281479693"/>
      <w:bookmarkStart w:id="164" w:name="_Toc281484712"/>
      <w:bookmarkStart w:id="165" w:name="_Toc281552467"/>
      <w:bookmarkStart w:id="166" w:name="_Toc281553534"/>
      <w:bookmarkStart w:id="167" w:name="_Toc281812236"/>
      <w:bookmarkStart w:id="168" w:name="_Toc281998022"/>
      <w:bookmarkStart w:id="169" w:name="_Toc281484715"/>
      <w:bookmarkStart w:id="170" w:name="_Toc281552470"/>
      <w:bookmarkStart w:id="171" w:name="_Toc281553537"/>
      <w:bookmarkStart w:id="172" w:name="_Toc281812239"/>
      <w:bookmarkStart w:id="173" w:name="_Toc281998025"/>
      <w:bookmarkStart w:id="174" w:name="_Toc281484716"/>
      <w:bookmarkStart w:id="175" w:name="_Toc281552471"/>
      <w:bookmarkStart w:id="176" w:name="_Toc281553538"/>
      <w:bookmarkStart w:id="177" w:name="_Toc281812240"/>
      <w:bookmarkStart w:id="178" w:name="_Toc281998026"/>
      <w:bookmarkStart w:id="179" w:name="_Toc281484717"/>
      <w:bookmarkStart w:id="180" w:name="_Toc281552472"/>
      <w:bookmarkStart w:id="181" w:name="_Toc281553539"/>
      <w:bookmarkStart w:id="182" w:name="_Toc281812241"/>
      <w:bookmarkStart w:id="183" w:name="_Toc281998027"/>
      <w:bookmarkStart w:id="184" w:name="_Toc281484718"/>
      <w:bookmarkStart w:id="185" w:name="_Toc281552473"/>
      <w:bookmarkStart w:id="186" w:name="_Toc281553540"/>
      <w:bookmarkStart w:id="187" w:name="_Toc281812242"/>
      <w:bookmarkStart w:id="188" w:name="_Toc281998028"/>
      <w:bookmarkStart w:id="189" w:name="_Toc89762379"/>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Pr="009E39BD">
        <w:t>Návrh na implementaci IN do Banky - režimy schvalování produktových záměrů</w:t>
      </w:r>
      <w:bookmarkEnd w:id="189"/>
      <w:r w:rsidRPr="009E39BD">
        <w:t xml:space="preserve">  </w:t>
      </w:r>
    </w:p>
    <w:p w14:paraId="7A691E57" w14:textId="77777777" w:rsidR="00C02E8C" w:rsidRPr="009E39BD" w:rsidRDefault="00C02E8C" w:rsidP="00C02E8C">
      <w:pPr>
        <w:tabs>
          <w:tab w:val="num" w:pos="567"/>
        </w:tabs>
        <w:ind w:left="567"/>
      </w:pPr>
      <w:r w:rsidRPr="009E39BD">
        <w:t>Produktové podněty jsou na ODIC analyzovány z hlediska:</w:t>
      </w:r>
    </w:p>
    <w:p w14:paraId="2DBDE23F" w14:textId="77777777" w:rsidR="00C02E8C" w:rsidRPr="009E39BD" w:rsidRDefault="00C02E8C" w:rsidP="00C02E8C">
      <w:pPr>
        <w:pStyle w:val="Odstavecseseznamem"/>
        <w:numPr>
          <w:ilvl w:val="0"/>
          <w:numId w:val="15"/>
        </w:numPr>
        <w:contextualSpacing w:val="0"/>
      </w:pPr>
      <w:r w:rsidRPr="009E39BD">
        <w:t>celistvosti - v případě nutnosti doplnění informací je navrhovatel podnětu požádán o doplnění,</w:t>
      </w:r>
    </w:p>
    <w:p w14:paraId="689D616D" w14:textId="77777777" w:rsidR="00C02E8C" w:rsidRPr="009E39BD" w:rsidRDefault="00C02E8C" w:rsidP="00C02E8C">
      <w:pPr>
        <w:pStyle w:val="Odstavecseseznamem"/>
        <w:numPr>
          <w:ilvl w:val="0"/>
          <w:numId w:val="15"/>
        </w:numPr>
        <w:contextualSpacing w:val="0"/>
      </w:pPr>
      <w:r w:rsidRPr="009E39BD">
        <w:t xml:space="preserve">náročnosti implementace do systému Banky. </w:t>
      </w:r>
    </w:p>
    <w:p w14:paraId="78AF8AEE" w14:textId="77777777" w:rsidR="00C02E8C" w:rsidRPr="009E39BD" w:rsidRDefault="00C02E8C" w:rsidP="00C02E8C">
      <w:pPr>
        <w:tabs>
          <w:tab w:val="num" w:pos="567"/>
        </w:tabs>
        <w:ind w:left="567"/>
      </w:pPr>
      <w:r w:rsidRPr="009E39BD">
        <w:t>Podněty ODIC zpracuje do podoby „Návrhu na implementaci IN“, který ODIC předkládá k projednání VIN, případně IN sám uvádí do distribuce (v případě již zasmluvněných investičních fondů).</w:t>
      </w:r>
    </w:p>
    <w:p w14:paraId="0171C1BA" w14:textId="77777777" w:rsidR="00C02E8C" w:rsidRPr="009E39BD" w:rsidRDefault="00C02E8C" w:rsidP="00C02E8C">
      <w:pPr>
        <w:tabs>
          <w:tab w:val="num" w:pos="567"/>
        </w:tabs>
        <w:ind w:left="567"/>
      </w:pPr>
      <w:r w:rsidRPr="009E39BD">
        <w:t xml:space="preserve">K vybraným produktům, zejména k Fondům kvalifikovaných investorů, které jsou předkládány ke schválení VIN, je oddělením Research vypracována analýza uvažovaného produktu, zaměřená na investiční záměr, kreditní kvalitu emitenta a situaci na trhu, kde se IN nabízí. </w:t>
      </w:r>
    </w:p>
    <w:p w14:paraId="0421BA64" w14:textId="77777777" w:rsidR="00C02E8C" w:rsidRPr="009E39BD" w:rsidRDefault="00C02E8C" w:rsidP="00C02E8C">
      <w:pPr>
        <w:pStyle w:val="Nadpis30"/>
        <w:numPr>
          <w:ilvl w:val="2"/>
          <w:numId w:val="16"/>
        </w:numPr>
        <w:ind w:left="720"/>
      </w:pPr>
      <w:r w:rsidRPr="009E39BD">
        <w:t>Návrh na implementaci IN</w:t>
      </w:r>
    </w:p>
    <w:p w14:paraId="1CF83C30" w14:textId="77777777" w:rsidR="00C02E8C" w:rsidRPr="009E39BD" w:rsidRDefault="00C02E8C" w:rsidP="00C02E8C">
      <w:pPr>
        <w:tabs>
          <w:tab w:val="num" w:pos="567"/>
        </w:tabs>
        <w:ind w:left="567"/>
      </w:pPr>
      <w:r w:rsidRPr="009E39BD">
        <w:t xml:space="preserve">Návrh na implementaci IN předkládá ODIC na VIN, má jednotnou formu a slouží zároveň pro zaznamenávání zásadních bodů souvisejících s </w:t>
      </w:r>
      <w:r>
        <w:t>IN</w:t>
      </w:r>
      <w:r w:rsidRPr="009E39BD">
        <w:t>, jeho vývojem, implementací, nabízením a distribucí. Vzor návrhu - viz příloha č. 3 tohoto předpisu.</w:t>
      </w:r>
    </w:p>
    <w:p w14:paraId="7A29C2B3" w14:textId="77777777" w:rsidR="00C02E8C" w:rsidRPr="009E39BD" w:rsidRDefault="00C02E8C" w:rsidP="00C02E8C">
      <w:pPr>
        <w:tabs>
          <w:tab w:val="num" w:pos="567"/>
        </w:tabs>
        <w:ind w:left="567"/>
      </w:pPr>
      <w:r w:rsidRPr="009E39BD">
        <w:lastRenderedPageBreak/>
        <w:t>Návrh na implementaci IN vytváří ODIC vždy ke všem IN dle  2.1 (1) a 2.1 (</w:t>
      </w:r>
      <w:r>
        <w:t>2</w:t>
      </w:r>
      <w:r w:rsidRPr="009E39BD">
        <w:t xml:space="preserve">), </w:t>
      </w:r>
      <w:r w:rsidRPr="0014336E">
        <w:t>s výjimkou produktů, které jsou v tzv. Zrychleném režimu dle kapitoly 2.3.3</w:t>
      </w:r>
      <w:r w:rsidRPr="009E39BD">
        <w:t xml:space="preserve">. </w:t>
      </w:r>
    </w:p>
    <w:p w14:paraId="2F1F55F6" w14:textId="77777777" w:rsidR="00C02E8C" w:rsidRPr="009E39BD" w:rsidRDefault="00C02E8C" w:rsidP="00C02E8C">
      <w:pPr>
        <w:tabs>
          <w:tab w:val="num" w:pos="567"/>
        </w:tabs>
        <w:ind w:left="567"/>
      </w:pPr>
      <w:r w:rsidRPr="009E39BD">
        <w:t xml:space="preserve">Návrh na implementaci IN </w:t>
      </w:r>
      <w:r>
        <w:t>je</w:t>
      </w:r>
      <w:r w:rsidRPr="009E39BD">
        <w:t xml:space="preserve"> předložen k jednání VIN, je zde zaznamenáno datum schválení nebo zamítnutí k implementaci.</w:t>
      </w:r>
    </w:p>
    <w:p w14:paraId="60318313" w14:textId="77777777" w:rsidR="00C02E8C" w:rsidRPr="009E39BD" w:rsidRDefault="00C02E8C" w:rsidP="00C02E8C">
      <w:pPr>
        <w:tabs>
          <w:tab w:val="num" w:pos="567"/>
        </w:tabs>
        <w:ind w:left="567"/>
      </w:pPr>
      <w:r w:rsidRPr="009E39BD">
        <w:t xml:space="preserve">Návrh na implementaci IN je aktualizován každým projednáváním produktového záměru </w:t>
      </w:r>
      <w:r w:rsidRPr="00BF4508">
        <w:rPr>
          <w:highlight w:val="yellow"/>
        </w:rPr>
        <w:t>konkrétního IN</w:t>
      </w:r>
      <w:r>
        <w:t xml:space="preserve"> </w:t>
      </w:r>
      <w:r w:rsidRPr="009E39BD">
        <w:t>VIN.</w:t>
      </w:r>
    </w:p>
    <w:p w14:paraId="667E5F65" w14:textId="77777777" w:rsidR="00C02E8C" w:rsidRPr="009E39BD" w:rsidRDefault="00C02E8C" w:rsidP="00C02E8C">
      <w:pPr>
        <w:tabs>
          <w:tab w:val="num" w:pos="567"/>
        </w:tabs>
        <w:ind w:left="567"/>
      </w:pPr>
      <w:r w:rsidRPr="009E39BD">
        <w:t>Návrh na implementaci IN je archivován v elektronické podobě</w:t>
      </w:r>
      <w:r>
        <w:t xml:space="preserve"> </w:t>
      </w:r>
      <w:r w:rsidRPr="00BF4508">
        <w:rPr>
          <w:highlight w:val="yellow"/>
        </w:rPr>
        <w:t>ve složce věnované příslušnému investičnímu nástroji na disku P v adresáři ODIC</w:t>
      </w:r>
      <w:r w:rsidRPr="009E39BD">
        <w:t>.</w:t>
      </w:r>
    </w:p>
    <w:p w14:paraId="191E8A53" w14:textId="77777777" w:rsidR="00C02E8C" w:rsidRPr="009E39BD" w:rsidRDefault="00C02E8C" w:rsidP="00C02E8C">
      <w:pPr>
        <w:tabs>
          <w:tab w:val="num" w:pos="567"/>
        </w:tabs>
        <w:ind w:left="567"/>
      </w:pPr>
      <w:r w:rsidRPr="009E39BD">
        <w:t>V případě předložení Produktového záměru na vypracování studie proveditelnosti je i tato studie proveditelnosti archivována.</w:t>
      </w:r>
    </w:p>
    <w:p w14:paraId="43AD4375" w14:textId="77777777" w:rsidR="00C02E8C" w:rsidRPr="009E39BD" w:rsidRDefault="00C02E8C" w:rsidP="00C02E8C">
      <w:pPr>
        <w:tabs>
          <w:tab w:val="num" w:pos="567"/>
        </w:tabs>
        <w:ind w:left="567"/>
      </w:pPr>
      <w:r w:rsidRPr="009E39BD">
        <w:t>Veškeré IN, které ODIC předkládá ke schválení VIN, jsou zároveň evidovány v přehledu IN, který vede ODIC v MS Excel</w:t>
      </w:r>
      <w:r>
        <w:t xml:space="preserve"> </w:t>
      </w:r>
      <w:r w:rsidRPr="00BF4508">
        <w:rPr>
          <w:highlight w:val="yellow"/>
        </w:rPr>
        <w:t>ve složce Produkty na disku P v adresáři ODIC</w:t>
      </w:r>
      <w:r w:rsidRPr="009E39BD">
        <w:t>.</w:t>
      </w:r>
    </w:p>
    <w:p w14:paraId="6901A6E9" w14:textId="77777777" w:rsidR="00C02E8C" w:rsidRPr="009E39BD" w:rsidRDefault="00C02E8C" w:rsidP="00C02E8C">
      <w:pPr>
        <w:pStyle w:val="Nadpis30"/>
        <w:numPr>
          <w:ilvl w:val="2"/>
          <w:numId w:val="16"/>
        </w:numPr>
        <w:ind w:left="720"/>
      </w:pPr>
      <w:r w:rsidRPr="009E39BD">
        <w:t>Náročnost implementace do systémů Banky</w:t>
      </w:r>
    </w:p>
    <w:p w14:paraId="7F6D1674" w14:textId="77777777" w:rsidR="00C02E8C" w:rsidRPr="009E39BD" w:rsidRDefault="00C02E8C" w:rsidP="00C02E8C">
      <w:pPr>
        <w:tabs>
          <w:tab w:val="num" w:pos="567"/>
        </w:tabs>
        <w:ind w:left="567"/>
      </w:pPr>
      <w:r w:rsidRPr="009E39BD">
        <w:rPr>
          <w:b/>
        </w:rPr>
        <w:t>Nenáročný IN:</w:t>
      </w:r>
      <w:r w:rsidRPr="009E39BD">
        <w:t xml:space="preserve"> (musí splňovat všechny níže uvedené tři body)</w:t>
      </w:r>
    </w:p>
    <w:p w14:paraId="170349DE" w14:textId="77777777" w:rsidR="00C02E8C" w:rsidRPr="009E39BD" w:rsidRDefault="00C02E8C" w:rsidP="00C02E8C">
      <w:pPr>
        <w:pStyle w:val="Odstavecseseznamem"/>
        <w:numPr>
          <w:ilvl w:val="0"/>
          <w:numId w:val="17"/>
        </w:numPr>
        <w:contextualSpacing w:val="0"/>
      </w:pPr>
      <w:r w:rsidRPr="009E39BD">
        <w:t>Zpravidla již vytvořený IN třetí strany, který má Banka pouze distribuovat.</w:t>
      </w:r>
    </w:p>
    <w:p w14:paraId="74358883" w14:textId="77777777" w:rsidR="00C02E8C" w:rsidRPr="009E39BD" w:rsidRDefault="00C02E8C" w:rsidP="00C02E8C">
      <w:pPr>
        <w:pStyle w:val="Odstavecseseznamem"/>
        <w:numPr>
          <w:ilvl w:val="0"/>
          <w:numId w:val="17"/>
        </w:numPr>
        <w:contextualSpacing w:val="0"/>
      </w:pPr>
      <w:r w:rsidRPr="009E39BD">
        <w:t>Existuje Produktový list a je možné zařadit IN do systémů Banky. Zařazení do systémů Banky a zavedení IN je v souladu s postupy uvedenými v </w:t>
      </w:r>
      <w:r>
        <w:t xml:space="preserve">již existujícím </w:t>
      </w:r>
      <w:r w:rsidRPr="009E39BD">
        <w:t>produktovém listu. Zavedení IN vyžaduje operativní součinnost dotčených útvarů</w:t>
      </w:r>
      <w:r w:rsidRPr="0014336E">
        <w:t xml:space="preserve">, nejsou nutné programátorské změny </w:t>
      </w:r>
      <w:r>
        <w:t>v</w:t>
      </w:r>
      <w:r w:rsidRPr="0014336E">
        <w:t xml:space="preserve"> IT systémech</w:t>
      </w:r>
      <w:r w:rsidRPr="009E39BD">
        <w:t xml:space="preserve">. Tuto činnost koordinuje ODIC. </w:t>
      </w:r>
    </w:p>
    <w:p w14:paraId="44C2F2A4" w14:textId="77777777" w:rsidR="00C02E8C" w:rsidRPr="009E39BD" w:rsidRDefault="00C02E8C" w:rsidP="00C02E8C">
      <w:pPr>
        <w:pStyle w:val="Odstavecseseznamem"/>
        <w:numPr>
          <w:ilvl w:val="0"/>
          <w:numId w:val="17"/>
        </w:numPr>
        <w:contextualSpacing w:val="0"/>
      </w:pPr>
      <w:r w:rsidRPr="009E39BD">
        <w:t>Informace nutné pro realizaci distribuce investorům jsou dodány třetí stranou.</w:t>
      </w:r>
    </w:p>
    <w:p w14:paraId="05E34A89" w14:textId="77777777" w:rsidR="00C02E8C" w:rsidRPr="009E39BD" w:rsidRDefault="00C02E8C" w:rsidP="00C02E8C">
      <w:pPr>
        <w:tabs>
          <w:tab w:val="num" w:pos="567"/>
        </w:tabs>
        <w:ind w:left="567"/>
      </w:pPr>
      <w:r w:rsidRPr="009E39BD">
        <w:rPr>
          <w:b/>
        </w:rPr>
        <w:t>Středně náročný IN</w:t>
      </w:r>
      <w:r w:rsidRPr="009E39BD">
        <w:t>: (musí splňovat všechny níže uvedené tři body)</w:t>
      </w:r>
    </w:p>
    <w:p w14:paraId="7BAF0BC9" w14:textId="77777777" w:rsidR="00C02E8C" w:rsidRPr="009E39BD" w:rsidRDefault="00C02E8C" w:rsidP="00C02E8C">
      <w:pPr>
        <w:pStyle w:val="Odstavecseseznamem"/>
        <w:numPr>
          <w:ilvl w:val="0"/>
          <w:numId w:val="18"/>
        </w:numPr>
        <w:contextualSpacing w:val="0"/>
      </w:pPr>
      <w:r w:rsidRPr="009E39BD">
        <w:t xml:space="preserve">K dotčenému </w:t>
      </w:r>
      <w:r>
        <w:t>IN</w:t>
      </w:r>
      <w:r w:rsidRPr="009E39BD">
        <w:t xml:space="preserve"> existuje </w:t>
      </w:r>
      <w:r>
        <w:t>P</w:t>
      </w:r>
      <w:r w:rsidRPr="009E39BD">
        <w:t>roduktový list</w:t>
      </w:r>
      <w:r>
        <w:t xml:space="preserve"> </w:t>
      </w:r>
      <w:r w:rsidRPr="0014336E">
        <w:t>(případně je nutné zapracovat dílčí změny)</w:t>
      </w:r>
      <w:r w:rsidRPr="009E39BD">
        <w:t>.</w:t>
      </w:r>
    </w:p>
    <w:p w14:paraId="056409B2" w14:textId="77777777" w:rsidR="00C02E8C" w:rsidRPr="009E39BD" w:rsidRDefault="00C02E8C" w:rsidP="00C02E8C">
      <w:pPr>
        <w:pStyle w:val="Odstavecseseznamem"/>
        <w:numPr>
          <w:ilvl w:val="0"/>
          <w:numId w:val="18"/>
        </w:numPr>
        <w:contextualSpacing w:val="0"/>
      </w:pPr>
      <w:r w:rsidRPr="009E39BD">
        <w:t>Implementace IN nevyžaduje programátorské zásahy do systémů Banky.</w:t>
      </w:r>
    </w:p>
    <w:p w14:paraId="69D4A5E3" w14:textId="77777777" w:rsidR="00C02E8C" w:rsidRPr="009E39BD" w:rsidRDefault="00C02E8C" w:rsidP="00C02E8C">
      <w:pPr>
        <w:pStyle w:val="Odstavecseseznamem"/>
        <w:numPr>
          <w:ilvl w:val="0"/>
          <w:numId w:val="18"/>
        </w:numPr>
        <w:contextualSpacing w:val="0"/>
      </w:pPr>
      <w:r w:rsidRPr="009E39BD">
        <w:t>Implementace IN do Banky je do značné míry závislá na jednání se třetími stranami o podmínkách prodeje.</w:t>
      </w:r>
    </w:p>
    <w:p w14:paraId="1DECE676" w14:textId="77777777" w:rsidR="00C02E8C" w:rsidRPr="009E39BD" w:rsidRDefault="00C02E8C" w:rsidP="00C02E8C">
      <w:pPr>
        <w:tabs>
          <w:tab w:val="num" w:pos="567"/>
        </w:tabs>
        <w:ind w:left="567"/>
      </w:pPr>
      <w:r w:rsidRPr="009E39BD">
        <w:rPr>
          <w:b/>
        </w:rPr>
        <w:t>Náročný IN</w:t>
      </w:r>
      <w:r w:rsidRPr="009E39BD">
        <w:t xml:space="preserve">: (splňuje alespoň jeden z níže uvedených </w:t>
      </w:r>
      <w:r>
        <w:t>dvou</w:t>
      </w:r>
      <w:r w:rsidRPr="009E39BD">
        <w:t xml:space="preserve"> bodů)</w:t>
      </w:r>
    </w:p>
    <w:p w14:paraId="2451ED0C" w14:textId="77777777" w:rsidR="00C02E8C" w:rsidRPr="009E39BD" w:rsidRDefault="00C02E8C" w:rsidP="00C02E8C">
      <w:pPr>
        <w:pStyle w:val="Odstavecseseznamem"/>
        <w:numPr>
          <w:ilvl w:val="0"/>
          <w:numId w:val="19"/>
        </w:numPr>
        <w:contextualSpacing w:val="0"/>
      </w:pPr>
      <w:r w:rsidRPr="009E39BD">
        <w:t xml:space="preserve">K dotčenému </w:t>
      </w:r>
      <w:r>
        <w:t>IN</w:t>
      </w:r>
      <w:r w:rsidRPr="009E39BD">
        <w:t xml:space="preserve"> neexistuje produktový list (je potřeba jej vyhotovit).</w:t>
      </w:r>
    </w:p>
    <w:p w14:paraId="75FFB754" w14:textId="77777777" w:rsidR="00C02E8C" w:rsidRPr="009E39BD" w:rsidRDefault="00C02E8C" w:rsidP="00C02E8C">
      <w:pPr>
        <w:pStyle w:val="Odstavecseseznamem"/>
        <w:numPr>
          <w:ilvl w:val="0"/>
          <w:numId w:val="19"/>
        </w:numPr>
        <w:contextualSpacing w:val="0"/>
      </w:pPr>
      <w:r w:rsidRPr="009E39BD">
        <w:t>Před distribucí je potřeba provést programátorské přizpůsobení systémů Banky.</w:t>
      </w:r>
    </w:p>
    <w:p w14:paraId="6E2906C7" w14:textId="77777777" w:rsidR="00C02E8C" w:rsidRPr="009E39BD" w:rsidRDefault="00C02E8C" w:rsidP="00C02E8C">
      <w:pPr>
        <w:pStyle w:val="Odstavecseseznamem"/>
        <w:numPr>
          <w:ilvl w:val="0"/>
          <w:numId w:val="0"/>
        </w:numPr>
        <w:ind w:left="927"/>
        <w:contextualSpacing w:val="0"/>
      </w:pPr>
      <w:r w:rsidRPr="009E39BD">
        <w:t>Implementace IN do Banky je do značné míry závislá na jednání se třetími stranami o podmínkách prodeje.</w:t>
      </w:r>
    </w:p>
    <w:p w14:paraId="36F5E479" w14:textId="77777777" w:rsidR="00C02E8C" w:rsidRPr="009E39BD" w:rsidRDefault="00C02E8C" w:rsidP="00C02E8C">
      <w:pPr>
        <w:pStyle w:val="Nadpis30"/>
        <w:numPr>
          <w:ilvl w:val="2"/>
          <w:numId w:val="16"/>
        </w:numPr>
        <w:ind w:left="720"/>
      </w:pPr>
      <w:r w:rsidRPr="009E39BD">
        <w:t xml:space="preserve">Rozhodnutí o Návrhu na implementaci IN ve zrychleném režimu </w:t>
      </w:r>
    </w:p>
    <w:p w14:paraId="124ACA41" w14:textId="77777777" w:rsidR="00C02E8C" w:rsidRPr="009E39BD" w:rsidRDefault="00C02E8C" w:rsidP="00C02E8C">
      <w:pPr>
        <w:tabs>
          <w:tab w:val="num" w:pos="567"/>
        </w:tabs>
        <w:ind w:left="567"/>
      </w:pPr>
      <w:r w:rsidRPr="009E39BD">
        <w:rPr>
          <w:b/>
        </w:rPr>
        <w:t>Podmínky pro schválení a implementaci</w:t>
      </w:r>
      <w:r w:rsidRPr="009E39BD">
        <w:t>: (musí být splněny oba níže uvedené body)</w:t>
      </w:r>
    </w:p>
    <w:p w14:paraId="5A3DE05A" w14:textId="77777777" w:rsidR="00C02E8C" w:rsidRPr="009E39BD" w:rsidRDefault="00C02E8C" w:rsidP="00C02E8C">
      <w:pPr>
        <w:pStyle w:val="Odstavecseseznamem"/>
        <w:numPr>
          <w:ilvl w:val="0"/>
          <w:numId w:val="20"/>
        </w:numPr>
        <w:contextualSpacing w:val="0"/>
      </w:pPr>
      <w:r w:rsidRPr="009E39BD">
        <w:t>V tomto režimu je možno implementovat fond investiční společnosti, se kterou má Banka uzavřenu distribuční smlouvu a zároveň jsou na stejné bázi nabízeny obdobné produkty této investiční společnosti. Banka zde provádí distribuci IN.</w:t>
      </w:r>
    </w:p>
    <w:p w14:paraId="12D4B424" w14:textId="77777777" w:rsidR="00C02E8C" w:rsidRPr="009E39BD" w:rsidRDefault="00C02E8C" w:rsidP="00C02E8C">
      <w:pPr>
        <w:pStyle w:val="Odstavecseseznamem"/>
        <w:numPr>
          <w:ilvl w:val="0"/>
          <w:numId w:val="20"/>
        </w:numPr>
        <w:contextualSpacing w:val="0"/>
      </w:pPr>
      <w:r w:rsidRPr="009E39BD">
        <w:t>Náročnost na implementaci dle 2.3.2: Nenáročný IN</w:t>
      </w:r>
    </w:p>
    <w:p w14:paraId="050F7B95" w14:textId="77777777" w:rsidR="00C02E8C" w:rsidRPr="009E39BD" w:rsidRDefault="00C02E8C" w:rsidP="00C02E8C">
      <w:pPr>
        <w:tabs>
          <w:tab w:val="num" w:pos="567"/>
        </w:tabs>
        <w:ind w:left="567"/>
      </w:pPr>
      <w:r w:rsidRPr="009E39BD">
        <w:t>Tímto způsobem implementovan</w:t>
      </w:r>
      <w:r>
        <w:t>ý</w:t>
      </w:r>
      <w:r w:rsidRPr="009E39BD">
        <w:t xml:space="preserve"> IN musí ODIC předložit na vědomí VIN v rámci jeho nebližšího jednání.</w:t>
      </w:r>
    </w:p>
    <w:p w14:paraId="3E04C6F1" w14:textId="77777777" w:rsidR="00C02E8C" w:rsidRPr="009E39BD" w:rsidRDefault="00C02E8C" w:rsidP="00C02E8C">
      <w:pPr>
        <w:pStyle w:val="Nadpis30"/>
        <w:numPr>
          <w:ilvl w:val="2"/>
          <w:numId w:val="16"/>
        </w:numPr>
        <w:ind w:left="720"/>
      </w:pPr>
      <w:r w:rsidRPr="009E39BD">
        <w:t xml:space="preserve">Rozhodnutí o Návrhu na implementaci IN v režimu VIN  </w:t>
      </w:r>
    </w:p>
    <w:p w14:paraId="5850CDC9" w14:textId="77777777" w:rsidR="00C02E8C" w:rsidRPr="009E39BD" w:rsidRDefault="00C02E8C" w:rsidP="00C02E8C">
      <w:pPr>
        <w:tabs>
          <w:tab w:val="num" w:pos="567"/>
        </w:tabs>
        <w:ind w:left="567"/>
      </w:pPr>
      <w:r w:rsidRPr="009E39BD">
        <w:t xml:space="preserve">ODIC vyhotoví Návrh na implementaci IN, který obsahuje: </w:t>
      </w:r>
    </w:p>
    <w:p w14:paraId="2EF387BD"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Identifikaci IN</w:t>
      </w:r>
      <w:r w:rsidRPr="009E39BD">
        <w:t xml:space="preserve"> - název, ISIN</w:t>
      </w:r>
      <w:r>
        <w:t xml:space="preserve"> </w:t>
      </w:r>
      <w:r w:rsidRPr="0014336E">
        <w:t>(pokud je známo, indikativně)</w:t>
      </w:r>
      <w:r w:rsidRPr="009E39BD">
        <w:t>.</w:t>
      </w:r>
    </w:p>
    <w:p w14:paraId="4FAB30D4" w14:textId="77777777" w:rsidR="00C02E8C" w:rsidRPr="0014336E" w:rsidRDefault="00C02E8C" w:rsidP="00C02E8C">
      <w:pPr>
        <w:pStyle w:val="Odstavecseseznamem"/>
        <w:numPr>
          <w:ilvl w:val="0"/>
          <w:numId w:val="14"/>
        </w:numPr>
        <w:tabs>
          <w:tab w:val="num" w:pos="2269"/>
        </w:tabs>
        <w:ind w:left="924" w:hanging="357"/>
        <w:contextualSpacing w:val="0"/>
      </w:pPr>
      <w:r w:rsidRPr="0014336E">
        <w:t>Emitent (případně Skupina emitenta)</w:t>
      </w:r>
      <w:r>
        <w:t>.</w:t>
      </w:r>
    </w:p>
    <w:p w14:paraId="757D26AE" w14:textId="77777777" w:rsidR="00C02E8C" w:rsidRPr="0014336E" w:rsidRDefault="00C02E8C" w:rsidP="00C02E8C">
      <w:pPr>
        <w:pStyle w:val="Odstavecseseznamem"/>
        <w:numPr>
          <w:ilvl w:val="0"/>
          <w:numId w:val="14"/>
        </w:numPr>
        <w:tabs>
          <w:tab w:val="num" w:pos="2269"/>
        </w:tabs>
        <w:ind w:left="924" w:hanging="357"/>
        <w:contextualSpacing w:val="0"/>
      </w:pPr>
      <w:r w:rsidRPr="0014336E">
        <w:t>Informaci, zda se jedná o PRI</w:t>
      </w:r>
      <w:r>
        <w:t>I</w:t>
      </w:r>
      <w:r w:rsidRPr="0014336E">
        <w:t>P</w:t>
      </w:r>
      <w:r>
        <w:t>s</w:t>
      </w:r>
      <w:r w:rsidRPr="0014336E">
        <w:t xml:space="preserve"> produkt</w:t>
      </w:r>
      <w:r>
        <w:t>.</w:t>
      </w:r>
    </w:p>
    <w:p w14:paraId="5D41D01A" w14:textId="77777777" w:rsidR="00C02E8C" w:rsidRPr="0014336E" w:rsidRDefault="00C02E8C" w:rsidP="00C02E8C">
      <w:pPr>
        <w:pStyle w:val="Odstavecseseznamem"/>
        <w:numPr>
          <w:ilvl w:val="0"/>
          <w:numId w:val="14"/>
        </w:numPr>
        <w:tabs>
          <w:tab w:val="num" w:pos="2269"/>
        </w:tabs>
        <w:ind w:left="924" w:hanging="357"/>
        <w:contextualSpacing w:val="0"/>
      </w:pPr>
      <w:r w:rsidRPr="0014336E">
        <w:t>Informaci, zda má emitent jiné veřejně obchodované investiční nástroje</w:t>
      </w:r>
      <w:r>
        <w:t>.</w:t>
      </w:r>
    </w:p>
    <w:p w14:paraId="40D96F0E"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lastRenderedPageBreak/>
        <w:t>Druh IN</w:t>
      </w:r>
      <w:r w:rsidRPr="009E39BD">
        <w:t xml:space="preserve"> – o jaký IN se jedná.</w:t>
      </w:r>
    </w:p>
    <w:p w14:paraId="70863E5B"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Popis IN</w:t>
      </w:r>
      <w:r w:rsidRPr="009E39BD">
        <w:t xml:space="preserve"> </w:t>
      </w:r>
      <w:r>
        <w:t xml:space="preserve">- </w:t>
      </w:r>
      <w:r w:rsidRPr="009E39BD">
        <w:t>možno i v daný okamžik známé parametry IN, např. nominální hodnota, objem emise, splatnost, výnos, zajištění, pobídky a další okolnosti, pokud z pohledu předkladatele mohou mít vliv na rozhodnutí VIN, cíle, zhodnocení přínosů a rizik pro Banku.</w:t>
      </w:r>
    </w:p>
    <w:p w14:paraId="691313D4"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Návrh distribuční strategie</w:t>
      </w:r>
      <w:r w:rsidRPr="009E39BD">
        <w:t xml:space="preserve"> a s tím související předběžné definování pro IN relevantního investora (cílový trh, profesionální klient, neprofesionální klient, kvalifikovaný investor, segment</w:t>
      </w:r>
      <w:r>
        <w:t xml:space="preserve"> klienta</w:t>
      </w:r>
      <w:r w:rsidRPr="009E39BD">
        <w:t>, prodej prostřednictvím interní bankovní prodejní sítě</w:t>
      </w:r>
      <w:r w:rsidRPr="0014336E">
        <w:t>, vázaných zástupců nebo prostřednictvím externí sítě</w:t>
      </w:r>
      <w:r w:rsidRPr="009E39BD">
        <w:t>).</w:t>
      </w:r>
    </w:p>
    <w:p w14:paraId="1BECA614"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Cost Benefit analýzu</w:t>
      </w:r>
      <w:r w:rsidRPr="009E39BD">
        <w:t xml:space="preserve"> – provádí se u IN, kde po analýze ODIC jsou očekávány vyšší náklady implementace. Nákladová (předem známé a možné odhadované náklady implementace, právní náklady, poplatky) a výnosová (případné pobídky od emitenta, poplatky od klienta za obstarání obchodu, vstupní/výstupní poplatek, výkonnostní poplatek) stránka IN. </w:t>
      </w:r>
    </w:p>
    <w:p w14:paraId="60ABFC9E"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 xml:space="preserve">Odhadovaný objem obchodů v horizontu 12i měsíců </w:t>
      </w:r>
      <w:r w:rsidRPr="00BF4508">
        <w:rPr>
          <w:bCs/>
        </w:rPr>
        <w:t>– pokud si VIN vyžádá</w:t>
      </w:r>
      <w:r w:rsidRPr="009E39BD">
        <w:t>.</w:t>
      </w:r>
    </w:p>
    <w:p w14:paraId="410731CF" w14:textId="77777777" w:rsidR="00C02E8C" w:rsidRPr="009E39BD" w:rsidRDefault="00C02E8C" w:rsidP="00C02E8C">
      <w:pPr>
        <w:pStyle w:val="Odstavecseseznamem"/>
        <w:numPr>
          <w:ilvl w:val="0"/>
          <w:numId w:val="14"/>
        </w:numPr>
        <w:tabs>
          <w:tab w:val="num" w:pos="2269"/>
        </w:tabs>
        <w:ind w:left="924" w:hanging="357"/>
        <w:contextualSpacing w:val="0"/>
      </w:pPr>
      <w:r w:rsidRPr="00BF4508">
        <w:rPr>
          <w:b/>
          <w:highlight w:val="yellow"/>
        </w:rPr>
        <w:t>Informace o</w:t>
      </w:r>
      <w:r w:rsidRPr="009E39BD">
        <w:rPr>
          <w:b/>
        </w:rPr>
        <w:t xml:space="preserve"> předkladatel</w:t>
      </w:r>
      <w:r>
        <w:rPr>
          <w:b/>
        </w:rPr>
        <w:t>i</w:t>
      </w:r>
      <w:r w:rsidRPr="009E39BD">
        <w:rPr>
          <w:b/>
        </w:rPr>
        <w:t xml:space="preserve"> podnětu</w:t>
      </w:r>
      <w:r w:rsidRPr="009E39BD">
        <w:t>.</w:t>
      </w:r>
    </w:p>
    <w:p w14:paraId="4C0EA811" w14:textId="77777777" w:rsidR="00C02E8C" w:rsidRPr="009E39BD" w:rsidRDefault="00C02E8C" w:rsidP="00C02E8C">
      <w:pPr>
        <w:pStyle w:val="Odstavecseseznamem"/>
        <w:numPr>
          <w:ilvl w:val="0"/>
          <w:numId w:val="14"/>
        </w:numPr>
        <w:tabs>
          <w:tab w:val="num" w:pos="2269"/>
        </w:tabs>
        <w:ind w:left="924" w:hanging="357"/>
        <w:contextualSpacing w:val="0"/>
      </w:pPr>
      <w:r w:rsidRPr="009E39BD">
        <w:rPr>
          <w:b/>
        </w:rPr>
        <w:t>Zařazení do stupně technické náročnosti</w:t>
      </w:r>
      <w:r w:rsidRPr="009E39BD">
        <w:t xml:space="preserve"> na implementování - IN ve skupině nenáročný, středně náročný nebo náročný na implementaci, případně uvedení technických specifik.</w:t>
      </w:r>
    </w:p>
    <w:p w14:paraId="69527428"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ODIC zároveň navrhne odhadovaný časový horizont pro implementaci, </w:t>
      </w:r>
      <w:r w:rsidRPr="009E39BD">
        <w:rPr>
          <w:b/>
        </w:rPr>
        <w:t>předpokládaný termín spuštění</w:t>
      </w:r>
      <w:r w:rsidRPr="009E39BD">
        <w:t>.</w:t>
      </w:r>
    </w:p>
    <w:p w14:paraId="1B3F1686" w14:textId="77777777" w:rsidR="00C02E8C" w:rsidRPr="009E39BD" w:rsidRDefault="00C02E8C" w:rsidP="00C02E8C">
      <w:pPr>
        <w:tabs>
          <w:tab w:val="num" w:pos="567"/>
        </w:tabs>
        <w:ind w:left="567"/>
      </w:pPr>
      <w:r w:rsidRPr="009E39BD">
        <w:t>ODIC může Návrh k implementaci IN předložit i bez znalosti všech výše uvedených hodnot, pokud nejsou v daný okamžik k dispozici nebo pokud existuje oprávněná domněnka, že se bude daný parametr významně měnit.</w:t>
      </w:r>
    </w:p>
    <w:p w14:paraId="5E4FCD0C" w14:textId="77777777" w:rsidR="00C02E8C" w:rsidRPr="009E39BD" w:rsidRDefault="00C02E8C" w:rsidP="00C02E8C">
      <w:pPr>
        <w:tabs>
          <w:tab w:val="num" w:pos="567"/>
        </w:tabs>
        <w:ind w:left="567"/>
      </w:pPr>
      <w:r w:rsidRPr="009E39BD">
        <w:t xml:space="preserve">Návrh k implementaci IN podléhá schválení VIN. Ten má možnost stanovit obchodní požadavky na IN, např. z oblasti cílových trhů, obchodních parametrů, distribuce, výnosových a nákladových parametrů aj.  </w:t>
      </w:r>
    </w:p>
    <w:p w14:paraId="367A324E" w14:textId="77777777" w:rsidR="00C02E8C" w:rsidRPr="009E39BD" w:rsidRDefault="00C02E8C" w:rsidP="00C02E8C">
      <w:pPr>
        <w:tabs>
          <w:tab w:val="num" w:pos="567"/>
        </w:tabs>
        <w:ind w:left="567"/>
      </w:pPr>
      <w:r w:rsidRPr="009E39BD">
        <w:t xml:space="preserve">ODIC, stejně jako VIN, </w:t>
      </w:r>
      <w:r>
        <w:t>může</w:t>
      </w:r>
      <w:r w:rsidRPr="009E39BD">
        <w:t xml:space="preserve"> kdykoli v průběhu implementace požádat o přezkoumání nebo projednání schváleného produktového záměru.</w:t>
      </w:r>
    </w:p>
    <w:p w14:paraId="08E8B83A" w14:textId="77777777" w:rsidR="00C02E8C" w:rsidRPr="009E39BD" w:rsidRDefault="00C02E8C" w:rsidP="00C02E8C">
      <w:pPr>
        <w:pStyle w:val="Nadpis30"/>
        <w:numPr>
          <w:ilvl w:val="2"/>
          <w:numId w:val="16"/>
        </w:numPr>
        <w:ind w:left="720"/>
      </w:pPr>
      <w:r w:rsidRPr="009E39BD">
        <w:t xml:space="preserve">Schválení vyhotovení Studie proveditelnosti </w:t>
      </w:r>
    </w:p>
    <w:p w14:paraId="62F02D09" w14:textId="77777777" w:rsidR="00C02E8C" w:rsidRPr="009E39BD" w:rsidRDefault="00C02E8C" w:rsidP="00C02E8C">
      <w:pPr>
        <w:tabs>
          <w:tab w:val="num" w:pos="567"/>
        </w:tabs>
        <w:ind w:left="567"/>
      </w:pPr>
      <w:r w:rsidRPr="009E39BD">
        <w:t xml:space="preserve">Pokud není možné podat Podnět na implementaci IN dle bodu 2.2, případně přímo vypracovat Návrh na implementaci IN, ODIC požádá VIN o souhlas s vypracováním Studie proveditelnosti k implementaci IN. Studie proveditelnosti se zpracovává v případě IN nabízeného jinou společností nebo v případě zcela nové inovativní myšlenky, kde není známa slučitelnost s obchodní politikou Banky, neexistují zkušenosti v oblasti procesní, distribuční apod. </w:t>
      </w:r>
    </w:p>
    <w:p w14:paraId="32FC934E" w14:textId="77777777" w:rsidR="00C02E8C" w:rsidRPr="009E39BD" w:rsidRDefault="00C02E8C" w:rsidP="00C02E8C">
      <w:pPr>
        <w:tabs>
          <w:tab w:val="num" w:pos="567"/>
        </w:tabs>
        <w:ind w:left="567"/>
      </w:pPr>
      <w:r w:rsidRPr="009E39BD">
        <w:t>Cílem je získat mandát od VIN k vypracování Studie proveditelnosti, na základě které bude následně detailně rozpracovaný Návrh na implementaci IN (v souladu s pravidly 2.3.4).</w:t>
      </w:r>
    </w:p>
    <w:p w14:paraId="1EABD36E" w14:textId="77777777" w:rsidR="00C02E8C" w:rsidRPr="009E39BD" w:rsidRDefault="00C02E8C" w:rsidP="00C02E8C">
      <w:pPr>
        <w:pStyle w:val="Nadpis2"/>
      </w:pPr>
      <w:bookmarkStart w:id="190" w:name="_Toc519859797"/>
      <w:bookmarkStart w:id="191" w:name="_Toc89762380"/>
      <w:r w:rsidRPr="009E39BD">
        <w:t xml:space="preserve">Tvorba a implementace schváleného </w:t>
      </w:r>
      <w:bookmarkEnd w:id="190"/>
      <w:r w:rsidRPr="009E39BD">
        <w:t>Produktového záměru</w:t>
      </w:r>
      <w:bookmarkEnd w:id="191"/>
    </w:p>
    <w:p w14:paraId="40DAF05D" w14:textId="77777777" w:rsidR="00C02E8C" w:rsidRPr="009E39BD" w:rsidRDefault="00C02E8C" w:rsidP="00C02E8C">
      <w:pPr>
        <w:pStyle w:val="Nadpis30"/>
        <w:numPr>
          <w:ilvl w:val="2"/>
          <w:numId w:val="16"/>
        </w:numPr>
        <w:ind w:left="720"/>
      </w:pPr>
      <w:r w:rsidRPr="009E39BD">
        <w:t>Společná ustanovení pro tvorbu, implementaci a distribuci IN</w:t>
      </w:r>
    </w:p>
    <w:p w14:paraId="2A43EB9D" w14:textId="77777777" w:rsidR="00C02E8C" w:rsidRPr="009E39BD" w:rsidRDefault="00C02E8C" w:rsidP="00C02E8C">
      <w:pPr>
        <w:tabs>
          <w:tab w:val="num" w:pos="567"/>
        </w:tabs>
        <w:ind w:left="567"/>
        <w:rPr>
          <w:strike/>
        </w:rPr>
      </w:pPr>
      <w:r>
        <w:t>D</w:t>
      </w:r>
      <w:r w:rsidRPr="009E39BD">
        <w:t xml:space="preserve">o procesu tvorby, implementace a distribuce IN </w:t>
      </w:r>
      <w:r w:rsidRPr="0014336E">
        <w:t xml:space="preserve">jsou alokováni pouze ti zaměstnanci, kteří splňující požadavky na odbornou způsobilost k této činnosti </w:t>
      </w:r>
      <w:r w:rsidRPr="009E39BD">
        <w:t xml:space="preserve">definované příslušnými právními předpisy a vnitřním předpisem "31/2008 Zásady poskytování investičních služeb" a přílohy č. 2 zmíněného předpisu. </w:t>
      </w:r>
    </w:p>
    <w:p w14:paraId="0AB2B8FC" w14:textId="77777777" w:rsidR="00C02E8C" w:rsidRPr="009E39BD" w:rsidRDefault="00C02E8C" w:rsidP="00C02E8C">
      <w:pPr>
        <w:tabs>
          <w:tab w:val="num" w:pos="567"/>
        </w:tabs>
        <w:ind w:left="567"/>
      </w:pPr>
      <w:r w:rsidRPr="009E39BD">
        <w:t>Pokud Banka spolupracuje na tvorbě IN s třetí osobou, je povinna tento vztah upravit písemnou smlouvou, kde jsou upraveny vzájemné povinnosti týkající se tvorby IN.</w:t>
      </w:r>
    </w:p>
    <w:p w14:paraId="056F51F3" w14:textId="77777777" w:rsidR="00C02E8C" w:rsidRPr="009E39BD" w:rsidRDefault="00C02E8C" w:rsidP="00C02E8C">
      <w:pPr>
        <w:tabs>
          <w:tab w:val="num" w:pos="567"/>
        </w:tabs>
        <w:ind w:left="567"/>
      </w:pPr>
      <w:r w:rsidRPr="009E39BD">
        <w:t xml:space="preserve">Odpovědnost za pravidelnou kontrolu vytváření a systému nabízení IN tak, aby bylo možné odhalit riziko, že Banka nesplní povinnosti dané v tomto předpisu, nese ODIC, odpovědnost za nesplnění regulatorních požadavků nese OCA. </w:t>
      </w:r>
    </w:p>
    <w:p w14:paraId="1AA785CF" w14:textId="77777777" w:rsidR="00C02E8C" w:rsidRPr="009E39BD" w:rsidRDefault="00C02E8C" w:rsidP="00C02E8C">
      <w:pPr>
        <w:tabs>
          <w:tab w:val="num" w:pos="567"/>
        </w:tabs>
        <w:ind w:left="567"/>
      </w:pPr>
      <w:r w:rsidRPr="009E39BD">
        <w:lastRenderedPageBreak/>
        <w:t>Odpovědnost za pravidelné informování představenstva Banky o souladu procesu tvorby, nabízení a distribuce IN se zákonnými požadavky nese VIN. Činí tak prostřednictvím zápisu z jednání VIN.</w:t>
      </w:r>
    </w:p>
    <w:p w14:paraId="27C52853" w14:textId="77777777" w:rsidR="00C02E8C" w:rsidRPr="009E39BD" w:rsidRDefault="00C02E8C" w:rsidP="00C02E8C">
      <w:pPr>
        <w:tabs>
          <w:tab w:val="num" w:pos="567"/>
        </w:tabs>
        <w:ind w:left="567"/>
      </w:pPr>
      <w:r w:rsidRPr="009E39BD">
        <w:t>V případě investičních nástrojů, které Banka vytváří, informuje OCA v Compliance zprávách představenstvo Banky o dodržování souvisejících právních povinností.</w:t>
      </w:r>
    </w:p>
    <w:p w14:paraId="51A8AEA0" w14:textId="77777777" w:rsidR="00C02E8C" w:rsidRPr="009E39BD" w:rsidRDefault="00C02E8C" w:rsidP="00C02E8C">
      <w:pPr>
        <w:pStyle w:val="Nadpis30"/>
        <w:numPr>
          <w:ilvl w:val="2"/>
          <w:numId w:val="16"/>
        </w:numPr>
        <w:ind w:left="720"/>
      </w:pPr>
      <w:r w:rsidRPr="009E39BD">
        <w:t>Tvorba a implementace IN, kde je Banka v pozici tvůrce</w:t>
      </w:r>
    </w:p>
    <w:p w14:paraId="4F400BFD" w14:textId="77777777" w:rsidR="00C02E8C" w:rsidRPr="009E39BD" w:rsidRDefault="00C02E8C" w:rsidP="00C02E8C">
      <w:pPr>
        <w:tabs>
          <w:tab w:val="num" w:pos="567"/>
        </w:tabs>
        <w:ind w:left="567"/>
      </w:pPr>
      <w:r w:rsidRPr="009E39BD">
        <w:t>Podle toho, zda existuje produktový list na příslušný IN, Banka buď postupuje podle tohoto produktového listu, případně nejprve vytváří nový produktový list. U vybraných investičních nástrojů se tvorba IN řídí také vnitřním předpisem "4/2011 Upisování nebo umisťování emisí investičních nástrojů" a dále vnitřním předpisem "2/2009 Směnkové programy". Tyto dokumenty jsou doplněny a aktualizovány o postupy uvedené v tomto předpise.</w:t>
      </w:r>
    </w:p>
    <w:p w14:paraId="6718B6E9" w14:textId="77777777" w:rsidR="00C02E8C" w:rsidRPr="009E39BD" w:rsidRDefault="00C02E8C" w:rsidP="00C02E8C">
      <w:pPr>
        <w:tabs>
          <w:tab w:val="num" w:pos="567"/>
        </w:tabs>
        <w:ind w:left="567"/>
      </w:pPr>
      <w:r w:rsidRPr="009E39BD">
        <w:t>Tvorba nového IN je v kompetenci ONE (vytváří emise Směnkových programů) a ODIC, pokud je ze strany VIN tvorbou IN pověřeno.</w:t>
      </w:r>
    </w:p>
    <w:p w14:paraId="3A2DE5DB" w14:textId="77777777" w:rsidR="00C02E8C" w:rsidRPr="009E39BD" w:rsidRDefault="00C02E8C" w:rsidP="00C02E8C">
      <w:pPr>
        <w:tabs>
          <w:tab w:val="num" w:pos="567"/>
        </w:tabs>
        <w:ind w:left="567"/>
      </w:pPr>
      <w:r w:rsidRPr="009E39BD">
        <w:t>Analýza rizik IN a Analýza rizik pro koncové klienty:</w:t>
      </w:r>
    </w:p>
    <w:p w14:paraId="0DD7DAE7"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ODIC v rámci zjišťování rizikovosti IN stanovené OŘR </w:t>
      </w:r>
      <w:r w:rsidRPr="0014336E">
        <w:t xml:space="preserve">a dalších vlastností vytvářeného produktu </w:t>
      </w:r>
      <w:r w:rsidRPr="009E39BD">
        <w:t>posoudí rizika nově vytvářeného IN</w:t>
      </w:r>
    </w:p>
    <w:p w14:paraId="2CF58951" w14:textId="77777777" w:rsidR="00C02E8C" w:rsidRPr="009E39BD" w:rsidRDefault="00C02E8C" w:rsidP="00C02E8C">
      <w:pPr>
        <w:pStyle w:val="Odstavecseseznamem"/>
        <w:numPr>
          <w:ilvl w:val="0"/>
          <w:numId w:val="21"/>
        </w:numPr>
        <w:contextualSpacing w:val="0"/>
      </w:pPr>
      <w:r w:rsidRPr="009E39BD">
        <w:t>Riziko, zda vytvářený a na trh uváděný IN a jeho vlastnosti, definice pozitivního, neutrálního a negativního cílového trhu, nepoškozují koncové klienty.</w:t>
      </w:r>
    </w:p>
    <w:p w14:paraId="62A1A125" w14:textId="77777777" w:rsidR="00C02E8C" w:rsidRPr="009E39BD" w:rsidRDefault="00C02E8C" w:rsidP="00C02E8C">
      <w:pPr>
        <w:pStyle w:val="Odstavecseseznamem"/>
        <w:numPr>
          <w:ilvl w:val="0"/>
          <w:numId w:val="21"/>
        </w:numPr>
        <w:contextualSpacing w:val="0"/>
      </w:pPr>
      <w:r w:rsidRPr="009E39BD">
        <w:t xml:space="preserve">Riziko, zda IN neohrožuje stabilitu a fungování finančního trhu (např. tím, že by Bance umožňoval snížit anebo vyloučit svá vlastní rizika nebo expozici spojenou s podkladovými aktivy investičního nástroje, drží-li již Banka tato podkladová aktiva na vlastní účet). </w:t>
      </w:r>
    </w:p>
    <w:p w14:paraId="6DAFF589" w14:textId="77777777" w:rsidR="00C02E8C" w:rsidRPr="009E39BD" w:rsidRDefault="00C02E8C" w:rsidP="00C02E8C">
      <w:pPr>
        <w:pStyle w:val="Odstavecseseznamem"/>
        <w:numPr>
          <w:ilvl w:val="0"/>
          <w:numId w:val="21"/>
        </w:numPr>
        <w:contextualSpacing w:val="0"/>
      </w:pPr>
      <w:r w:rsidRPr="009E39BD">
        <w:t>Riziko, zda IN nezakládá na potenciální střet zájmů, vedoucí k poškození klientů (např. jestliže klienti zaujmou opačnou pozici, než kterou původně držela Banka, nebo kterou hodlá obchodník s cennými papíry držet po prodeji investičního nástroje).</w:t>
      </w:r>
    </w:p>
    <w:p w14:paraId="126B7498" w14:textId="77777777" w:rsidR="00C02E8C" w:rsidRDefault="00C02E8C" w:rsidP="00C02E8C">
      <w:pPr>
        <w:pStyle w:val="Odstavecseseznamem"/>
        <w:numPr>
          <w:ilvl w:val="0"/>
          <w:numId w:val="21"/>
        </w:numPr>
        <w:contextualSpacing w:val="0"/>
      </w:pPr>
      <w:r w:rsidRPr="009E39BD">
        <w:t>Stanovení rizikovosti dle Metodiky třídění cenných papírů včetně posouzení rizik IN pro koncové klienty a scénáře, za jakých okolností mohou tato rizika nastat.</w:t>
      </w:r>
    </w:p>
    <w:p w14:paraId="3F64AD61" w14:textId="77777777" w:rsidR="00C02E8C" w:rsidRPr="009E39BD" w:rsidRDefault="00C02E8C" w:rsidP="00C02E8C">
      <w:pPr>
        <w:tabs>
          <w:tab w:val="num" w:pos="567"/>
        </w:tabs>
        <w:ind w:left="567"/>
      </w:pPr>
      <w:r w:rsidRPr="009E39BD">
        <w:t>Analýza cílového trhu:</w:t>
      </w:r>
    </w:p>
    <w:p w14:paraId="145C4AFE"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ODIC na základě znalostí o vytvářeném IN a Metodiky pro stanovení cílových trhů (příloha č. 1), zahrnující EMT (European Mifid Templates) a případně EPT (European PRIIPs Templates), stanoví pozitivní (data získaná z investičního dotazníku klienta odpovídají ve všech sledovaných atributech) a neutrální (nesoulad v některém z atributů, pokud Klient trvá na provedení, pokyn se realizuje s náležitým disclaimerem) cílový trh a trhy, se kterými je produkt neslučitelný – negativní cílové trhy (liší se v atributu, který </w:t>
      </w:r>
      <w:r>
        <w:t>B</w:t>
      </w:r>
      <w:r w:rsidRPr="009E39BD">
        <w:t xml:space="preserve">anka určila jako kritický - </w:t>
      </w:r>
      <w:r>
        <w:t>B</w:t>
      </w:r>
      <w:r w:rsidRPr="009E39BD">
        <w:t>anka odmítne pokyn realizovat).</w:t>
      </w:r>
    </w:p>
    <w:p w14:paraId="33B5A334" w14:textId="77777777" w:rsidR="00C02E8C" w:rsidRPr="009E39BD" w:rsidRDefault="00C02E8C" w:rsidP="00C02E8C">
      <w:pPr>
        <w:tabs>
          <w:tab w:val="num" w:pos="567"/>
        </w:tabs>
        <w:ind w:left="567"/>
      </w:pPr>
      <w:r w:rsidRPr="009E39BD">
        <w:t>Definice distribuční strategie:</w:t>
      </w:r>
    </w:p>
    <w:p w14:paraId="5A42CCD1" w14:textId="77777777" w:rsidR="00C02E8C" w:rsidRPr="009E39BD" w:rsidRDefault="00C02E8C" w:rsidP="00C02E8C">
      <w:pPr>
        <w:pStyle w:val="Odstavecseseznamem"/>
        <w:numPr>
          <w:ilvl w:val="0"/>
          <w:numId w:val="14"/>
        </w:numPr>
        <w:tabs>
          <w:tab w:val="num" w:pos="2269"/>
        </w:tabs>
        <w:ind w:left="924" w:hanging="357"/>
        <w:contextualSpacing w:val="0"/>
      </w:pPr>
      <w:r w:rsidRPr="009E39BD">
        <w:t>ODIC, ve spolupráci s DOB, určí distribuční strategii</w:t>
      </w:r>
    </w:p>
    <w:p w14:paraId="4FB86057" w14:textId="77777777" w:rsidR="00C02E8C" w:rsidRPr="009E39BD" w:rsidRDefault="00C02E8C" w:rsidP="00C02E8C">
      <w:pPr>
        <w:pStyle w:val="Odstavecseseznamem"/>
        <w:numPr>
          <w:ilvl w:val="0"/>
          <w:numId w:val="22"/>
        </w:numPr>
        <w:contextualSpacing w:val="0"/>
      </w:pPr>
      <w:r w:rsidRPr="009E39BD">
        <w:t>Nabízíme klientům pouze v pozitivním cílovém trhu</w:t>
      </w:r>
    </w:p>
    <w:p w14:paraId="6F54D174" w14:textId="77777777" w:rsidR="00C02E8C" w:rsidRPr="009E39BD" w:rsidRDefault="00C02E8C" w:rsidP="00C02E8C">
      <w:pPr>
        <w:pStyle w:val="Odstavecseseznamem"/>
        <w:numPr>
          <w:ilvl w:val="0"/>
          <w:numId w:val="22"/>
        </w:numPr>
        <w:contextualSpacing w:val="0"/>
      </w:pPr>
      <w:r>
        <w:t>Segment klienta</w:t>
      </w:r>
    </w:p>
    <w:p w14:paraId="23F445E7" w14:textId="77777777" w:rsidR="00C02E8C" w:rsidRPr="009E39BD" w:rsidRDefault="00C02E8C" w:rsidP="00C02E8C">
      <w:pPr>
        <w:pStyle w:val="Odstavecseseznamem"/>
        <w:numPr>
          <w:ilvl w:val="0"/>
          <w:numId w:val="22"/>
        </w:numPr>
        <w:contextualSpacing w:val="0"/>
      </w:pPr>
      <w:r w:rsidRPr="009E39BD">
        <w:t>Prodejní kanál – ve smyslu distribuce prostřednictvím zaměstnanců Banky</w:t>
      </w:r>
      <w:r w:rsidRPr="0014336E">
        <w:t>, vázaných zástupců</w:t>
      </w:r>
      <w:r w:rsidRPr="009E39BD">
        <w:t xml:space="preserve"> a externích partnerů </w:t>
      </w:r>
      <w:r>
        <w:t>B</w:t>
      </w:r>
      <w:r w:rsidRPr="009E39BD">
        <w:t>anky, včetně stanovení provizí</w:t>
      </w:r>
    </w:p>
    <w:p w14:paraId="6D2A8502" w14:textId="77777777" w:rsidR="00C02E8C" w:rsidRPr="009E39BD" w:rsidRDefault="00C02E8C" w:rsidP="00C02E8C">
      <w:pPr>
        <w:pStyle w:val="Odstavecseseznamem"/>
        <w:numPr>
          <w:ilvl w:val="0"/>
          <w:numId w:val="22"/>
        </w:numPr>
        <w:contextualSpacing w:val="0"/>
      </w:pPr>
      <w:r w:rsidRPr="009E39BD">
        <w:t>Klientská smlouva, kde bude IN k dispozici – IU ČR, TU, IU SR; vč. FO, PO</w:t>
      </w:r>
    </w:p>
    <w:p w14:paraId="133D929E" w14:textId="77777777" w:rsidR="00C02E8C" w:rsidRPr="009E39BD" w:rsidRDefault="00C02E8C" w:rsidP="00C02E8C">
      <w:pPr>
        <w:pStyle w:val="Odstavecseseznamem"/>
        <w:numPr>
          <w:ilvl w:val="0"/>
          <w:numId w:val="22"/>
        </w:numPr>
        <w:contextualSpacing w:val="0"/>
      </w:pPr>
      <w:r w:rsidRPr="009E39BD">
        <w:t xml:space="preserve">Zařazení nově implementovaného IN do marketingové kategorie „Produktový katalog-nabídka“ nebo „Investiční příležitost“. Tento krok je aplikován pouze, pokud je VIN toto členění vyžadováno – provádí se na základě Analýzy zpracované oddělením Research. </w:t>
      </w:r>
    </w:p>
    <w:p w14:paraId="3C2E78A9" w14:textId="77777777" w:rsidR="00C02E8C" w:rsidRPr="009E39BD" w:rsidRDefault="00C02E8C" w:rsidP="00C02E8C">
      <w:pPr>
        <w:pStyle w:val="Odstavecseseznamem"/>
        <w:numPr>
          <w:ilvl w:val="0"/>
          <w:numId w:val="14"/>
        </w:numPr>
        <w:tabs>
          <w:tab w:val="num" w:pos="2269"/>
        </w:tabs>
        <w:ind w:left="924" w:hanging="357"/>
        <w:contextualSpacing w:val="0"/>
      </w:pPr>
      <w:r w:rsidRPr="009E39BD">
        <w:t>V návaznosti na uvedená zjištění z Analýzy cílových trhů a Analýzy rizik pro koncové klienty, při definování distribuční strategie ODIC prohlásí, zda je IN slučitelný s potřebami, charakteristikami a cíli určeného cílového trhu.</w:t>
      </w:r>
    </w:p>
    <w:p w14:paraId="5DD7CD40" w14:textId="77777777" w:rsidR="00C02E8C" w:rsidRPr="009E39BD" w:rsidRDefault="00C02E8C" w:rsidP="00C02E8C">
      <w:pPr>
        <w:tabs>
          <w:tab w:val="num" w:pos="567"/>
        </w:tabs>
        <w:ind w:left="567"/>
      </w:pPr>
      <w:r w:rsidRPr="009E39BD">
        <w:t>Analýza struktury úplaty:</w:t>
      </w:r>
    </w:p>
    <w:p w14:paraId="3AE9F2A2" w14:textId="77777777" w:rsidR="00C02E8C" w:rsidRPr="009E39BD" w:rsidRDefault="00C02E8C" w:rsidP="00C02E8C">
      <w:pPr>
        <w:pStyle w:val="Odstavecseseznamem"/>
        <w:numPr>
          <w:ilvl w:val="0"/>
          <w:numId w:val="14"/>
        </w:numPr>
        <w:tabs>
          <w:tab w:val="num" w:pos="2269"/>
        </w:tabs>
        <w:ind w:left="924" w:hanging="357"/>
        <w:contextualSpacing w:val="0"/>
      </w:pPr>
      <w:r w:rsidRPr="009E39BD">
        <w:lastRenderedPageBreak/>
        <w:t>ODIC zařadí na základě interní metodiky IN do příslušné poplatkové kategorie za obstarání obchodu a po zohlednění všech dalších parametrů ovlivňujících nákladovost spojenou s pořízením IN provede Analýzu struktury úplaty – finanční toky od klienta do Banky.</w:t>
      </w:r>
    </w:p>
    <w:p w14:paraId="3C0DF749" w14:textId="77777777" w:rsidR="00C02E8C" w:rsidRPr="009E39BD" w:rsidRDefault="00C02E8C" w:rsidP="00C02E8C">
      <w:pPr>
        <w:tabs>
          <w:tab w:val="num" w:pos="567"/>
        </w:tabs>
        <w:ind w:left="567"/>
      </w:pPr>
      <w:r w:rsidRPr="009E39BD">
        <w:t>Analýza připravenosti IT systémů</w:t>
      </w:r>
      <w:r>
        <w:t xml:space="preserve"> a procesů</w:t>
      </w:r>
      <w:r w:rsidRPr="009E39BD">
        <w:t>:</w:t>
      </w:r>
    </w:p>
    <w:p w14:paraId="7ED47B77" w14:textId="77777777" w:rsidR="00C02E8C" w:rsidRDefault="00C02E8C" w:rsidP="00C02E8C">
      <w:pPr>
        <w:pStyle w:val="Odstavecseseznamem"/>
        <w:numPr>
          <w:ilvl w:val="0"/>
          <w:numId w:val="14"/>
        </w:numPr>
        <w:tabs>
          <w:tab w:val="num" w:pos="2269"/>
        </w:tabs>
        <w:ind w:left="924" w:hanging="357"/>
        <w:contextualSpacing w:val="0"/>
      </w:pPr>
      <w:r w:rsidRPr="009E39BD">
        <w:t>ODIC v rámci prvotní analýzy podnětu vyhodnotí připravenost IT systémů na IN. Připravenost v průběhu vývoje produktu monitoruje. Pokud IT systémy nejsou zcela vyhovující, vyhotoví obchodní zadání na technické řešení s cílem dosáhnout celkové připravenosti interních systémů k distribuci a návazným procesům. Toto zadání je předáno dle pravidel stanovených vnitřním předpisem "SJTF_12/2018 Změnové řízení informačních systémů a technologií". ODIC monitoruje průběh realizace úprav a společně se zhotovitelem předává finální řešení uživateli.</w:t>
      </w:r>
    </w:p>
    <w:p w14:paraId="38917D2A" w14:textId="77777777" w:rsidR="00C02E8C" w:rsidRPr="009E39BD" w:rsidRDefault="00C02E8C" w:rsidP="00C02E8C">
      <w:pPr>
        <w:pStyle w:val="Odstavecseseznamem"/>
        <w:numPr>
          <w:ilvl w:val="0"/>
          <w:numId w:val="14"/>
        </w:numPr>
        <w:tabs>
          <w:tab w:val="num" w:pos="2269"/>
        </w:tabs>
        <w:ind w:left="924" w:hanging="357"/>
        <w:contextualSpacing w:val="0"/>
      </w:pPr>
      <w:r w:rsidRPr="0014336E">
        <w:t>ODIC zároveň prověří, zda existující produktový list zohledňuje případná procesní specifika IN. Pokud nikoli, zajistí jeho aktualizaci.</w:t>
      </w:r>
    </w:p>
    <w:p w14:paraId="407B94B1" w14:textId="77777777" w:rsidR="00C02E8C" w:rsidRPr="009E39BD" w:rsidRDefault="00C02E8C" w:rsidP="00C02E8C">
      <w:pPr>
        <w:tabs>
          <w:tab w:val="num" w:pos="567"/>
          <w:tab w:val="num" w:pos="2269"/>
        </w:tabs>
        <w:ind w:left="567"/>
      </w:pPr>
      <w:r w:rsidRPr="009E39BD">
        <w:t>Banka jako tvůrce IN má k dispozici veškeré informace nutné pro vytvoření dokumentů obsahujících Informace nutné pro realizaci distribuce IN ke klientovi, jejichž účelem je pochopení vlastností IN ze strany klienta.</w:t>
      </w:r>
    </w:p>
    <w:p w14:paraId="60041B5F" w14:textId="77777777" w:rsidR="00C02E8C" w:rsidRPr="009E39BD" w:rsidRDefault="00C02E8C" w:rsidP="00C02E8C">
      <w:pPr>
        <w:tabs>
          <w:tab w:val="num" w:pos="567"/>
          <w:tab w:val="num" w:pos="2269"/>
        </w:tabs>
        <w:ind w:left="567"/>
      </w:pPr>
      <w:r w:rsidRPr="009E39BD">
        <w:t xml:space="preserve">Podle typu </w:t>
      </w:r>
      <w:r w:rsidRPr="0014336E">
        <w:t>(dluhopis, fond, certifikát, aj…)</w:t>
      </w:r>
      <w:r>
        <w:t xml:space="preserve"> </w:t>
      </w:r>
      <w:r w:rsidRPr="009E39BD">
        <w:t>investičního nástroje se jedná o:</w:t>
      </w:r>
    </w:p>
    <w:p w14:paraId="189AF9E2" w14:textId="77777777" w:rsidR="00C02E8C" w:rsidRPr="009E39BD" w:rsidRDefault="00C02E8C" w:rsidP="00C02E8C">
      <w:pPr>
        <w:pStyle w:val="Odstavecseseznamem"/>
        <w:numPr>
          <w:ilvl w:val="0"/>
          <w:numId w:val="14"/>
        </w:numPr>
        <w:tabs>
          <w:tab w:val="num" w:pos="2269"/>
        </w:tabs>
        <w:ind w:left="924" w:hanging="357"/>
        <w:contextualSpacing w:val="0"/>
      </w:pPr>
      <w:r w:rsidRPr="009E39BD">
        <w:t>Statut/Prospekt k IN,</w:t>
      </w:r>
    </w:p>
    <w:p w14:paraId="0C711BEF" w14:textId="77777777" w:rsidR="00C02E8C" w:rsidRPr="009E39BD" w:rsidRDefault="00C02E8C" w:rsidP="00C02E8C">
      <w:pPr>
        <w:pStyle w:val="Odstavecseseznamem"/>
        <w:numPr>
          <w:ilvl w:val="0"/>
          <w:numId w:val="14"/>
        </w:numPr>
        <w:tabs>
          <w:tab w:val="num" w:pos="2269"/>
        </w:tabs>
        <w:ind w:left="924" w:hanging="357"/>
        <w:contextualSpacing w:val="0"/>
      </w:pPr>
      <w:r w:rsidRPr="009E39BD">
        <w:t>Emisní podmínky,</w:t>
      </w:r>
    </w:p>
    <w:p w14:paraId="6A496894" w14:textId="77777777" w:rsidR="00C02E8C" w:rsidRPr="009E39BD" w:rsidRDefault="00C02E8C" w:rsidP="00C02E8C">
      <w:pPr>
        <w:pStyle w:val="Odstavecseseznamem"/>
        <w:numPr>
          <w:ilvl w:val="0"/>
          <w:numId w:val="14"/>
        </w:numPr>
        <w:tabs>
          <w:tab w:val="num" w:pos="2269"/>
        </w:tabs>
        <w:ind w:left="924" w:hanging="357"/>
        <w:contextualSpacing w:val="0"/>
      </w:pPr>
      <w:r w:rsidRPr="009E39BD">
        <w:t>KID (u PRIIPs produktů),</w:t>
      </w:r>
    </w:p>
    <w:p w14:paraId="1D3DDDEB" w14:textId="77777777" w:rsidR="00C02E8C" w:rsidRPr="009E39BD" w:rsidRDefault="00C02E8C" w:rsidP="00C02E8C">
      <w:pPr>
        <w:pStyle w:val="Odstavecseseznamem"/>
        <w:numPr>
          <w:ilvl w:val="0"/>
          <w:numId w:val="14"/>
        </w:numPr>
        <w:tabs>
          <w:tab w:val="num" w:pos="2269"/>
        </w:tabs>
        <w:ind w:left="924" w:hanging="357"/>
        <w:contextualSpacing w:val="0"/>
      </w:pPr>
      <w:r w:rsidRPr="009E39BD">
        <w:t>Infolist/Factsheet,</w:t>
      </w:r>
    </w:p>
    <w:p w14:paraId="69774647" w14:textId="77777777" w:rsidR="00C02E8C" w:rsidRPr="009E39BD" w:rsidRDefault="00C02E8C" w:rsidP="00C02E8C">
      <w:pPr>
        <w:pStyle w:val="Odstavecseseznamem"/>
        <w:numPr>
          <w:ilvl w:val="0"/>
          <w:numId w:val="14"/>
        </w:numPr>
        <w:tabs>
          <w:tab w:val="num" w:pos="2269"/>
        </w:tabs>
        <w:ind w:left="924" w:hanging="357"/>
        <w:contextualSpacing w:val="0"/>
      </w:pPr>
      <w:r w:rsidRPr="009E39BD">
        <w:t>Vyhodnocení cílového trhu IN.</w:t>
      </w:r>
    </w:p>
    <w:p w14:paraId="1FCFFDB1" w14:textId="77777777" w:rsidR="00C02E8C" w:rsidRPr="009E39BD" w:rsidRDefault="00C02E8C" w:rsidP="00C02E8C">
      <w:pPr>
        <w:tabs>
          <w:tab w:val="num" w:pos="567"/>
          <w:tab w:val="num" w:pos="2269"/>
        </w:tabs>
        <w:ind w:left="567"/>
      </w:pPr>
      <w:r w:rsidRPr="009E39BD">
        <w:t>Podklady a faktické vstupy pro tvorbu KID a Infolistů vyplývají z výše popsaných analýz.</w:t>
      </w:r>
    </w:p>
    <w:p w14:paraId="0944385C" w14:textId="77777777" w:rsidR="00C02E8C" w:rsidRPr="009E39BD" w:rsidRDefault="00C02E8C" w:rsidP="00C02E8C">
      <w:pPr>
        <w:tabs>
          <w:tab w:val="num" w:pos="567"/>
          <w:tab w:val="num" w:pos="2269"/>
        </w:tabs>
        <w:ind w:left="567"/>
      </w:pPr>
      <w:r w:rsidRPr="009E39BD">
        <w:t>Posouzení, zda se jedná o PRIIPs produkt. Pokud ano, pak je nutné posoudit do jaké kategorie PRIIPs produktu IN spadá (dle přílohy č. 2, st. 5, section 2 market Risk Measure) SRI. Pro stanovení hodnot publikovaných v Klíčových informací</w:t>
      </w:r>
      <w:r>
        <w:t>ch</w:t>
      </w:r>
      <w:r w:rsidRPr="009E39BD">
        <w:t xml:space="preserve"> pro investora Banka používá externí systémy, např. Bloomberg PRIPS Solution Mars, v souladu RTS.</w:t>
      </w:r>
    </w:p>
    <w:p w14:paraId="1932D8B9" w14:textId="77777777" w:rsidR="00C02E8C" w:rsidRDefault="00C02E8C" w:rsidP="00C02E8C">
      <w:pPr>
        <w:tabs>
          <w:tab w:val="num" w:pos="567"/>
          <w:tab w:val="num" w:pos="2269"/>
        </w:tabs>
        <w:ind w:left="567"/>
      </w:pPr>
      <w:r w:rsidRPr="009E39BD">
        <w:t>Banka jako tvůrce IN předá distributorům, se kterými uzavře ujednání o distribuci IN, veškeré odpovídající a spolehlivé informace potřebné pro porozumění vlastnostem IN, aby bylo zaručeno, že tento bude distribuován v souladu s potřebami, charakteristikami a cíli určeného cílového trhu. Tyto je povinna předat i na vyžádání distributora.</w:t>
      </w:r>
    </w:p>
    <w:p w14:paraId="4EB0E6A1" w14:textId="77777777" w:rsidR="00C02E8C" w:rsidRPr="00BF4508" w:rsidRDefault="00C02E8C" w:rsidP="00C02E8C">
      <w:pPr>
        <w:tabs>
          <w:tab w:val="num" w:pos="567"/>
          <w:tab w:val="num" w:pos="2269"/>
        </w:tabs>
        <w:ind w:left="567"/>
        <w:rPr>
          <w:highlight w:val="yellow"/>
        </w:rPr>
      </w:pPr>
      <w:r w:rsidRPr="00BF4508">
        <w:rPr>
          <w:highlight w:val="yellow"/>
        </w:rPr>
        <w:t>Zvláštní povinnosti Banky prostřednictvím ODIC v případě dluhopisů nabízených na Slovenském trhu:</w:t>
      </w:r>
    </w:p>
    <w:p w14:paraId="738C9BE1"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posouzení, zda se jedná o PDVRP a pokud ano, přijetí opatření souvisejících s nabídkou a distribucí takovýchto dluhopisů,</w:t>
      </w:r>
    </w:p>
    <w:p w14:paraId="74450E6E"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informovat VIN,</w:t>
      </w:r>
    </w:p>
    <w:p w14:paraId="1847905E"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stanovit distribuční strategii – nemožnost prodávat prostřednictvím externích zástupců a prodávat pouze prostřednictvím seniorních prodejců,</w:t>
      </w:r>
    </w:p>
    <w:p w14:paraId="0C7A2A1D"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prostřednictvím informačního a komunikačního manuálu dát tuto skutečnost na vědomí prodejcům společně s informací, že při nákupu musí být klient prodejcem seznámen s vlastnostmi investičního nástroje a upozorněn na skutečnost, že se jedná o PDVRP a to zanese do záznamu z jednání,</w:t>
      </w:r>
    </w:p>
    <w:p w14:paraId="45AE4458" w14:textId="77777777" w:rsidR="00C02E8C" w:rsidRPr="00BF4508" w:rsidRDefault="00C02E8C" w:rsidP="00C02E8C">
      <w:pPr>
        <w:pStyle w:val="Odstavecseseznamem"/>
        <w:numPr>
          <w:ilvl w:val="0"/>
          <w:numId w:val="14"/>
        </w:numPr>
        <w:rPr>
          <w:highlight w:val="yellow"/>
        </w:rPr>
      </w:pPr>
      <w:r w:rsidRPr="00BF4508">
        <w:rPr>
          <w:highlight w:val="yellow"/>
        </w:rPr>
        <w:t>součástí informací pro klienta musí být i Infolist, který obsahuje informaci o tom, že se jedná o PDVRP a odkaz na „Informačnu kartu podnikových dlhopisov“ umístěnou na webu NBS.</w:t>
      </w:r>
    </w:p>
    <w:p w14:paraId="4980CB72" w14:textId="77777777" w:rsidR="00C02E8C" w:rsidRPr="009E39BD" w:rsidRDefault="00C02E8C" w:rsidP="00C02E8C">
      <w:pPr>
        <w:pStyle w:val="Nadpis30"/>
        <w:numPr>
          <w:ilvl w:val="2"/>
          <w:numId w:val="16"/>
        </w:numPr>
        <w:ind w:left="720"/>
      </w:pPr>
      <w:r w:rsidRPr="009E39BD">
        <w:t>Implementace IN, kde je Banka v pozici distributora</w:t>
      </w:r>
    </w:p>
    <w:p w14:paraId="6D09A855" w14:textId="77777777" w:rsidR="00C02E8C" w:rsidRPr="009E39BD" w:rsidRDefault="00C02E8C" w:rsidP="00C02E8C">
      <w:pPr>
        <w:tabs>
          <w:tab w:val="num" w:pos="567"/>
          <w:tab w:val="num" w:pos="2269"/>
        </w:tabs>
        <w:ind w:left="567"/>
      </w:pPr>
      <w:r w:rsidRPr="009E39BD">
        <w:t>Banka v rámci implementace připravuje distribuci produktu třetí strany. Před zahájením distribuce IN musí tento splňovat následující požadavky.</w:t>
      </w:r>
    </w:p>
    <w:p w14:paraId="268BAF81" w14:textId="77777777" w:rsidR="00C02E8C" w:rsidRPr="009E39BD" w:rsidRDefault="00C02E8C" w:rsidP="00C02E8C">
      <w:pPr>
        <w:tabs>
          <w:tab w:val="num" w:pos="567"/>
          <w:tab w:val="num" w:pos="2269"/>
        </w:tabs>
        <w:ind w:left="567"/>
      </w:pPr>
      <w:r w:rsidRPr="009E39BD">
        <w:t>Třetí strana prošla schvalovacím procesem dle vnitřního předpisu "1/2014 Spolupráce s fondovými distributory".</w:t>
      </w:r>
    </w:p>
    <w:p w14:paraId="57D8AD9F" w14:textId="77777777" w:rsidR="00C02E8C" w:rsidRPr="0014336E" w:rsidRDefault="00C02E8C" w:rsidP="00C02E8C">
      <w:pPr>
        <w:tabs>
          <w:tab w:val="clear" w:pos="709"/>
          <w:tab w:val="num" w:pos="567"/>
          <w:tab w:val="num" w:pos="1135"/>
          <w:tab w:val="num" w:pos="2269"/>
        </w:tabs>
        <w:ind w:left="567"/>
      </w:pPr>
      <w:r w:rsidRPr="0014336E">
        <w:lastRenderedPageBreak/>
        <w:t>Pokud je do Banky implementován jiný IN, než je fond, je třetí stranou emitent, který není fondovým distributorem ve smyslu předpisu "1/2014 Spolupráce s fondovými distributory".</w:t>
      </w:r>
    </w:p>
    <w:p w14:paraId="2E898AB9" w14:textId="77777777" w:rsidR="00C02E8C" w:rsidRDefault="00C02E8C" w:rsidP="00C02E8C">
      <w:pPr>
        <w:numPr>
          <w:ilvl w:val="0"/>
          <w:numId w:val="0"/>
        </w:numPr>
        <w:tabs>
          <w:tab w:val="num" w:pos="709"/>
          <w:tab w:val="num" w:pos="2269"/>
        </w:tabs>
        <w:ind w:left="567"/>
      </w:pPr>
      <w:r w:rsidRPr="0014336E">
        <w:t>Proto, emitent dle bodu (3) musí mít v Bance svého správce. Správce klienta se řídí příslušným ustanovením předpisu „31/2008 Zásady poskytování investičních služeb a dále předpisem „1/2012 Správa smluvního vztahu s klientem pro obchodování na kapitálových trzích – ČR</w:t>
      </w:r>
      <w:r w:rsidRPr="0014336E">
        <w:rPr>
          <w:rStyle w:val="Odkaznakoment"/>
        </w:rPr>
        <w:t xml:space="preserve"> n</w:t>
      </w:r>
      <w:r w:rsidRPr="0014336E">
        <w:t>ebo předpisem „2/2013 Spolupráce s finančními institucemi“.</w:t>
      </w:r>
    </w:p>
    <w:p w14:paraId="6D9BAC80" w14:textId="77777777" w:rsidR="00C02E8C" w:rsidRPr="009E39BD" w:rsidRDefault="00C02E8C" w:rsidP="00C02E8C">
      <w:pPr>
        <w:tabs>
          <w:tab w:val="num" w:pos="567"/>
          <w:tab w:val="num" w:pos="2269"/>
        </w:tabs>
        <w:ind w:left="567"/>
      </w:pPr>
      <w:r w:rsidRPr="009E39BD">
        <w:t xml:space="preserve">ODIC zajistí, aby Banka obdržela od tvůrce IN odpovídající a spolehlivé informace potřebné pro porozumění vlastnostem IN, který hodlá nabízet nebo doporučovat, aby bylo zaručeno, že tento IN bude distribuován v souladu s potřebami, charakteristikami a cíli určeného cílového trhu. Dle typu IN se </w:t>
      </w:r>
      <w:r w:rsidRPr="00BF4508">
        <w:rPr>
          <w:highlight w:val="yellow"/>
        </w:rPr>
        <w:t>může jednat</w:t>
      </w:r>
      <w:r w:rsidRPr="009E39BD">
        <w:t xml:space="preserve"> zejména o tyto Informace nutné pro realizaci distribuce IN:</w:t>
      </w:r>
    </w:p>
    <w:p w14:paraId="0835ADC7" w14:textId="77777777" w:rsidR="00C02E8C" w:rsidRPr="009E39BD" w:rsidRDefault="00C02E8C" w:rsidP="00C02E8C">
      <w:pPr>
        <w:pStyle w:val="Odstavecseseznamem"/>
        <w:numPr>
          <w:ilvl w:val="0"/>
          <w:numId w:val="14"/>
        </w:numPr>
        <w:tabs>
          <w:tab w:val="num" w:pos="2269"/>
        </w:tabs>
        <w:ind w:left="924" w:hanging="357"/>
        <w:contextualSpacing w:val="0"/>
      </w:pPr>
      <w:r w:rsidRPr="009E39BD">
        <w:t>Statut/Prospekt k IN,</w:t>
      </w:r>
    </w:p>
    <w:p w14:paraId="0E5867C3" w14:textId="77777777" w:rsidR="00C02E8C" w:rsidRPr="009E39BD" w:rsidRDefault="00C02E8C" w:rsidP="00C02E8C">
      <w:pPr>
        <w:pStyle w:val="Odstavecseseznamem"/>
        <w:numPr>
          <w:ilvl w:val="0"/>
          <w:numId w:val="14"/>
        </w:numPr>
        <w:tabs>
          <w:tab w:val="num" w:pos="2269"/>
        </w:tabs>
        <w:ind w:left="924" w:hanging="357"/>
        <w:contextualSpacing w:val="0"/>
      </w:pPr>
      <w:r w:rsidRPr="009E39BD">
        <w:t>Emisní podmínky,</w:t>
      </w:r>
    </w:p>
    <w:p w14:paraId="70916DB7"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KID (u PRIIPs produktů), </w:t>
      </w:r>
    </w:p>
    <w:p w14:paraId="162B096F" w14:textId="77777777" w:rsidR="00C02E8C" w:rsidRPr="009E39BD" w:rsidRDefault="00C02E8C" w:rsidP="00C02E8C">
      <w:pPr>
        <w:pStyle w:val="Odstavecseseznamem"/>
        <w:numPr>
          <w:ilvl w:val="0"/>
          <w:numId w:val="14"/>
        </w:numPr>
        <w:tabs>
          <w:tab w:val="num" w:pos="2269"/>
        </w:tabs>
        <w:ind w:left="924" w:hanging="357"/>
        <w:contextualSpacing w:val="0"/>
      </w:pPr>
      <w:r w:rsidRPr="009E39BD">
        <w:t>Infolist/Factsheet,</w:t>
      </w:r>
    </w:p>
    <w:p w14:paraId="0C1595DC" w14:textId="77777777" w:rsidR="00C02E8C" w:rsidRPr="009E39BD" w:rsidRDefault="00C02E8C" w:rsidP="00C02E8C">
      <w:pPr>
        <w:pStyle w:val="Odstavecseseznamem"/>
        <w:numPr>
          <w:ilvl w:val="0"/>
          <w:numId w:val="14"/>
        </w:numPr>
        <w:tabs>
          <w:tab w:val="num" w:pos="2269"/>
        </w:tabs>
        <w:ind w:left="924" w:hanging="357"/>
        <w:contextualSpacing w:val="0"/>
      </w:pPr>
      <w:r w:rsidRPr="009E39BD">
        <w:t>Podklady pro stanovení cílového trhu distributorem:</w:t>
      </w:r>
    </w:p>
    <w:p w14:paraId="3322C4AE" w14:textId="77777777" w:rsidR="00C02E8C" w:rsidRPr="009E39BD" w:rsidRDefault="00C02E8C" w:rsidP="00C02E8C">
      <w:pPr>
        <w:pStyle w:val="Odstavecseseznamem"/>
        <w:numPr>
          <w:ilvl w:val="0"/>
          <w:numId w:val="23"/>
        </w:numPr>
      </w:pPr>
      <w:r w:rsidRPr="009E39BD">
        <w:t>EMT (European Mifid Templates) – šablona obsahující definované parametry nabývající hodnot v rozsahu pro daný parametr stanoveného číselníku,</w:t>
      </w:r>
    </w:p>
    <w:p w14:paraId="57E0240C" w14:textId="77777777" w:rsidR="00C02E8C" w:rsidRDefault="00C02E8C" w:rsidP="00C02E8C">
      <w:pPr>
        <w:pStyle w:val="Odstavecseseznamem"/>
        <w:numPr>
          <w:ilvl w:val="0"/>
          <w:numId w:val="23"/>
        </w:numPr>
      </w:pPr>
      <w:r w:rsidRPr="009E39BD">
        <w:t>EPT (European  PRIIPs Templates) – šablona obsahující definované parametry v oblasti složení portfolia, nákladovosti, rizikovosti a volatility PRIIPs produktů.</w:t>
      </w:r>
    </w:p>
    <w:p w14:paraId="4CD3BC39" w14:textId="77777777" w:rsidR="00C02E8C" w:rsidRPr="00BF4508" w:rsidRDefault="00C02E8C" w:rsidP="00C02E8C">
      <w:pPr>
        <w:pStyle w:val="Odstavecseseznamem"/>
        <w:numPr>
          <w:ilvl w:val="0"/>
          <w:numId w:val="23"/>
        </w:numPr>
        <w:rPr>
          <w:highlight w:val="yellow"/>
        </w:rPr>
      </w:pPr>
      <w:r w:rsidRPr="00BF4508">
        <w:rPr>
          <w:highlight w:val="yellow"/>
        </w:rPr>
        <w:t>Informace o emitentovi a akcii zveřejněné na organizovaném regulovaném trhu.</w:t>
      </w:r>
    </w:p>
    <w:p w14:paraId="71E8A4B4" w14:textId="77777777" w:rsidR="00C02E8C" w:rsidRPr="009E39BD" w:rsidRDefault="00C02E8C" w:rsidP="00C02E8C">
      <w:pPr>
        <w:tabs>
          <w:tab w:val="num" w:pos="567"/>
          <w:tab w:val="num" w:pos="2269"/>
        </w:tabs>
        <w:ind w:left="567"/>
      </w:pPr>
      <w:r w:rsidRPr="009E39BD">
        <w:t>Analýza rizik produktu:</w:t>
      </w:r>
    </w:p>
    <w:p w14:paraId="050390F8" w14:textId="77777777" w:rsidR="00C02E8C" w:rsidRPr="009E39BD" w:rsidRDefault="00C02E8C" w:rsidP="00C02E8C">
      <w:pPr>
        <w:pStyle w:val="Odstavecseseznamem"/>
        <w:numPr>
          <w:ilvl w:val="0"/>
          <w:numId w:val="24"/>
        </w:numPr>
        <w:contextualSpacing w:val="0"/>
      </w:pPr>
      <w:r w:rsidRPr="009E39BD">
        <w:t>Riziko IN pro koncové klienty - ODIC (jedná-li se o fond), v ostatních případech OŘR, stanoví na základě dodaných podkladů od výrobce a interní metodiky OŘR k tomuto určené, interní rizikovou třídu.</w:t>
      </w:r>
    </w:p>
    <w:p w14:paraId="74DD2C11" w14:textId="77777777" w:rsidR="00C02E8C" w:rsidRPr="009E39BD" w:rsidRDefault="00C02E8C" w:rsidP="00C02E8C">
      <w:pPr>
        <w:pStyle w:val="Odstavecseseznamem"/>
        <w:numPr>
          <w:ilvl w:val="0"/>
          <w:numId w:val="24"/>
        </w:numPr>
        <w:contextualSpacing w:val="0"/>
      </w:pPr>
      <w:r w:rsidRPr="009E39BD">
        <w:t>Riziko, zda IN nezakládá na potenciální střet zájmů, vedoucí k poškození klientů. Před implementací IN do Banky musí ODIC identifikovat i veškeré pobídky související s distribucí IN a další případné faktory – výhody a nevýhody pro Banku související s distribucí, které mohou mít dopad na investora.</w:t>
      </w:r>
      <w:r>
        <w:t xml:space="preserve"> </w:t>
      </w:r>
      <w:r w:rsidRPr="0014336E">
        <w:t>Posuzuje ODIC ve spolupráci s OCA.</w:t>
      </w:r>
    </w:p>
    <w:p w14:paraId="63F08E4C" w14:textId="77777777" w:rsidR="00C02E8C" w:rsidRPr="009E39BD" w:rsidRDefault="00C02E8C" w:rsidP="00C02E8C">
      <w:pPr>
        <w:tabs>
          <w:tab w:val="num" w:pos="567"/>
          <w:tab w:val="num" w:pos="2269"/>
        </w:tabs>
        <w:ind w:left="567"/>
      </w:pPr>
      <w:r w:rsidRPr="009E39BD">
        <w:t>Analýza cílového trhu:</w:t>
      </w:r>
    </w:p>
    <w:p w14:paraId="1E8FD8D8" w14:textId="77777777" w:rsidR="00C02E8C" w:rsidRPr="009E39BD" w:rsidRDefault="00C02E8C" w:rsidP="00C02E8C">
      <w:pPr>
        <w:pStyle w:val="Odstavecseseznamem"/>
        <w:numPr>
          <w:ilvl w:val="0"/>
          <w:numId w:val="14"/>
        </w:numPr>
        <w:tabs>
          <w:tab w:val="num" w:pos="2269"/>
        </w:tabs>
        <w:ind w:left="924" w:hanging="357"/>
        <w:contextualSpacing w:val="0"/>
      </w:pPr>
      <w:r w:rsidRPr="009E39BD">
        <w:t>ODIC na základě dodaných podkladů od výrobce a Metodiky tvorby cílového trhu (příloha č. 1 tohoto předpisu) stanoví cílové trhy – pozitivní, neutrální a negativní trh. Vedle výsledné hodnoty cílového trhu vymezí i typ klienta, pro kterého je IN určen: Neprofesionální, Profesionální a Způsobilá protistrana.</w:t>
      </w:r>
    </w:p>
    <w:p w14:paraId="0F7EAB24" w14:textId="77777777" w:rsidR="00C02E8C" w:rsidRPr="009E39BD" w:rsidRDefault="00C02E8C" w:rsidP="00C02E8C">
      <w:pPr>
        <w:tabs>
          <w:tab w:val="num" w:pos="567"/>
          <w:tab w:val="num" w:pos="2269"/>
        </w:tabs>
        <w:ind w:left="567"/>
      </w:pPr>
      <w:r w:rsidRPr="009E39BD">
        <w:t>Definice distribuční strategie:</w:t>
      </w:r>
    </w:p>
    <w:p w14:paraId="0978414C" w14:textId="77777777" w:rsidR="00C02E8C" w:rsidRPr="009E39BD" w:rsidRDefault="00C02E8C" w:rsidP="00C02E8C">
      <w:pPr>
        <w:pStyle w:val="Odstavecseseznamem"/>
        <w:numPr>
          <w:ilvl w:val="0"/>
          <w:numId w:val="14"/>
        </w:numPr>
        <w:tabs>
          <w:tab w:val="num" w:pos="2269"/>
        </w:tabs>
        <w:ind w:left="924" w:hanging="357"/>
        <w:contextualSpacing w:val="0"/>
      </w:pPr>
      <w:r w:rsidRPr="009E39BD">
        <w:t>ODIC, ve spolupráci s DOB, určí distribuční strategii</w:t>
      </w:r>
    </w:p>
    <w:p w14:paraId="656DC372" w14:textId="77777777" w:rsidR="00C02E8C" w:rsidRPr="009E39BD" w:rsidRDefault="00C02E8C" w:rsidP="00C02E8C">
      <w:pPr>
        <w:pStyle w:val="Odstavecseseznamem"/>
        <w:numPr>
          <w:ilvl w:val="0"/>
          <w:numId w:val="25"/>
        </w:numPr>
        <w:contextualSpacing w:val="0"/>
      </w:pPr>
      <w:r w:rsidRPr="009E39BD">
        <w:t>Nabízíme klientům pouze v pozitivním cílovém trhu</w:t>
      </w:r>
    </w:p>
    <w:p w14:paraId="3EEFC727" w14:textId="77777777" w:rsidR="00C02E8C" w:rsidRPr="009E39BD" w:rsidRDefault="00C02E8C" w:rsidP="00C02E8C">
      <w:pPr>
        <w:pStyle w:val="Odstavecseseznamem"/>
        <w:numPr>
          <w:ilvl w:val="0"/>
          <w:numId w:val="25"/>
        </w:numPr>
        <w:contextualSpacing w:val="0"/>
      </w:pPr>
      <w:r>
        <w:t>Segment klienta</w:t>
      </w:r>
    </w:p>
    <w:p w14:paraId="0FB7FBBD" w14:textId="77777777" w:rsidR="00C02E8C" w:rsidRPr="009E39BD" w:rsidRDefault="00C02E8C" w:rsidP="00C02E8C">
      <w:pPr>
        <w:pStyle w:val="Odstavecseseznamem"/>
        <w:numPr>
          <w:ilvl w:val="0"/>
          <w:numId w:val="25"/>
        </w:numPr>
        <w:contextualSpacing w:val="0"/>
      </w:pPr>
      <w:r w:rsidRPr="009E39BD">
        <w:t xml:space="preserve">Prodejní kanál – ve smyslu </w:t>
      </w:r>
      <w:r>
        <w:t xml:space="preserve">distribuce prostřednictvím </w:t>
      </w:r>
      <w:r w:rsidRPr="009E39BD">
        <w:t>zaměstnanců Banky</w:t>
      </w:r>
      <w:r>
        <w:t>, vázaných zástupců</w:t>
      </w:r>
      <w:r w:rsidRPr="009E39BD">
        <w:t xml:space="preserve"> a externích partnerů Banky, včetně stanovení provizí</w:t>
      </w:r>
    </w:p>
    <w:p w14:paraId="20412999" w14:textId="77777777" w:rsidR="00C02E8C" w:rsidRPr="009E39BD" w:rsidRDefault="00C02E8C" w:rsidP="00C02E8C">
      <w:pPr>
        <w:pStyle w:val="Odstavecseseznamem"/>
        <w:numPr>
          <w:ilvl w:val="0"/>
          <w:numId w:val="25"/>
        </w:numPr>
        <w:contextualSpacing w:val="0"/>
      </w:pPr>
      <w:r w:rsidRPr="009E39BD">
        <w:t>Klientská smlouva, kde bude produkt k dispozici – IU ČR, TU, IU SR; vč. FO, PO</w:t>
      </w:r>
    </w:p>
    <w:p w14:paraId="7EE5A54D" w14:textId="77777777" w:rsidR="00C02E8C" w:rsidRPr="009E39BD" w:rsidRDefault="00C02E8C" w:rsidP="00C02E8C">
      <w:pPr>
        <w:pStyle w:val="Odstavecseseznamem"/>
        <w:numPr>
          <w:ilvl w:val="0"/>
          <w:numId w:val="25"/>
        </w:numPr>
        <w:contextualSpacing w:val="0"/>
      </w:pPr>
      <w:r w:rsidRPr="009E39BD">
        <w:t xml:space="preserve">Zařazení nově implementovaného IN do marketingové kategorie na základě vyhodnocení cílového trhu produktu. Tento krok je aplikován, pouze pokud je VIN toto členění vyžadováno – provádí se na základě Analýzy zpracované oddělením Research. </w:t>
      </w:r>
    </w:p>
    <w:p w14:paraId="4B036931" w14:textId="77777777" w:rsidR="00C02E8C" w:rsidRPr="009E39BD" w:rsidRDefault="00C02E8C" w:rsidP="00C02E8C">
      <w:pPr>
        <w:pStyle w:val="Odstavecseseznamem"/>
        <w:numPr>
          <w:ilvl w:val="0"/>
          <w:numId w:val="14"/>
        </w:numPr>
        <w:tabs>
          <w:tab w:val="num" w:pos="2269"/>
        </w:tabs>
        <w:ind w:left="924" w:hanging="357"/>
        <w:contextualSpacing w:val="0"/>
      </w:pPr>
      <w:r w:rsidRPr="009E39BD">
        <w:t>V návaznosti na uvedená zjištění z Analýzy cílového trhu a stanovené rizikovosti pro koncové klienty při definování distribuční strategie ODIC prohlásí, zda je IN slučitelný s potřebami, charakteristikami a cíli určeného cílového trhu a zda zamýšlená prodejní strategie odpovídá určenému cílovému trhu.</w:t>
      </w:r>
    </w:p>
    <w:p w14:paraId="5CE75E22" w14:textId="77777777" w:rsidR="00C02E8C" w:rsidRPr="009E39BD" w:rsidRDefault="00C02E8C" w:rsidP="00C02E8C">
      <w:pPr>
        <w:tabs>
          <w:tab w:val="clear" w:pos="709"/>
          <w:tab w:val="num" w:pos="567"/>
          <w:tab w:val="num" w:pos="2269"/>
        </w:tabs>
        <w:ind w:left="567"/>
      </w:pPr>
      <w:r w:rsidRPr="009E39BD">
        <w:t>Analýza struktury úplaty:</w:t>
      </w:r>
    </w:p>
    <w:p w14:paraId="33131652"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ODIC zařadí IN do příslušné poplatkové kategorie za obstarání obchodu a po zohlednění dalších parametrů ovlivňujících nákladovost spojenou s pořízením IN provede analýzu </w:t>
      </w:r>
      <w:r w:rsidRPr="009E39BD">
        <w:lastRenderedPageBreak/>
        <w:t xml:space="preserve">struktury úplaty – souhrn finančních toků (nákladů klienta) od klienta do Banky a od klienta k emitentovi. </w:t>
      </w:r>
    </w:p>
    <w:p w14:paraId="7E4C04B4" w14:textId="77777777" w:rsidR="00C02E8C" w:rsidRPr="009E39BD" w:rsidRDefault="00C02E8C" w:rsidP="00C02E8C">
      <w:pPr>
        <w:tabs>
          <w:tab w:val="num" w:pos="567"/>
          <w:tab w:val="num" w:pos="2269"/>
        </w:tabs>
        <w:ind w:left="567"/>
      </w:pPr>
      <w:r w:rsidRPr="009E39BD">
        <w:t>Analýza připravenosti IT systémů</w:t>
      </w:r>
      <w:r>
        <w:t xml:space="preserve"> a procesů</w:t>
      </w:r>
      <w:r w:rsidRPr="009E39BD">
        <w:t>:</w:t>
      </w:r>
    </w:p>
    <w:p w14:paraId="455D6114" w14:textId="77777777" w:rsidR="00C02E8C" w:rsidRDefault="00C02E8C" w:rsidP="00C02E8C">
      <w:pPr>
        <w:pStyle w:val="Odstavecseseznamem"/>
        <w:numPr>
          <w:ilvl w:val="0"/>
          <w:numId w:val="14"/>
        </w:numPr>
        <w:tabs>
          <w:tab w:val="num" w:pos="2269"/>
        </w:tabs>
        <w:ind w:left="924" w:hanging="357"/>
        <w:contextualSpacing w:val="0"/>
      </w:pPr>
      <w:r w:rsidRPr="009E39BD">
        <w:t>ODIC v rámci prvotní analýzy podnětu vyhodnotí připravenost IT systémů na IN. Připravenost v průběhu vývoje produktu monitoruje. Pokud IT systémy nejsou zcela vyhovující, vyhotoví obchodní zadání na technické řešení s cílem dosáhnout celkové připravenosti interních systémů k distribuci a návazných procesů, jako je reporting. Toto zadání je předáno dle pravidel stanovených vnitřním předpisem "SJTF_12/2018 Změnové řízení informačních systémů a technologií". ODIC monitoruje průběh realizace úprav a společně se zhotovitelem předává finální řešení uživateli.</w:t>
      </w:r>
    </w:p>
    <w:p w14:paraId="2A62277D" w14:textId="77777777" w:rsidR="00C02E8C" w:rsidRDefault="00C02E8C" w:rsidP="00C02E8C">
      <w:pPr>
        <w:pStyle w:val="Odstavecseseznamem"/>
        <w:numPr>
          <w:ilvl w:val="0"/>
          <w:numId w:val="14"/>
        </w:numPr>
        <w:tabs>
          <w:tab w:val="num" w:pos="2269"/>
        </w:tabs>
        <w:ind w:left="924" w:hanging="357"/>
        <w:contextualSpacing w:val="0"/>
      </w:pPr>
      <w:r w:rsidRPr="0014336E">
        <w:t xml:space="preserve">ODIC zároveň prověří, zda existující produktový list zohledňuje </w:t>
      </w:r>
      <w:r>
        <w:t>veškerá</w:t>
      </w:r>
      <w:r w:rsidRPr="0014336E">
        <w:t xml:space="preserve"> procesní specifika IN. Pokud nikoli, zajistí jeho aktualizaci.</w:t>
      </w:r>
    </w:p>
    <w:p w14:paraId="1291BD7B" w14:textId="77777777" w:rsidR="00C02E8C" w:rsidRPr="00BF4508" w:rsidRDefault="00C02E8C" w:rsidP="00C02E8C">
      <w:pPr>
        <w:rPr>
          <w:highlight w:val="yellow"/>
        </w:rPr>
      </w:pPr>
      <w:r w:rsidRPr="00BF4508">
        <w:rPr>
          <w:highlight w:val="yellow"/>
        </w:rPr>
        <w:t>Zvláštní povinnosti Banky prostřednictvím ODIC v případě dluhopisů nabízených na Slovenském trhu</w:t>
      </w:r>
      <w:r>
        <w:rPr>
          <w:highlight w:val="yellow"/>
        </w:rPr>
        <w:t>:</w:t>
      </w:r>
    </w:p>
    <w:p w14:paraId="7C1ECDB4" w14:textId="77777777" w:rsidR="00C02E8C" w:rsidRPr="00BF4508" w:rsidRDefault="00C02E8C" w:rsidP="00C02E8C">
      <w:pPr>
        <w:pStyle w:val="Odstavecseseznamem"/>
        <w:numPr>
          <w:ilvl w:val="0"/>
          <w:numId w:val="14"/>
        </w:numPr>
        <w:tabs>
          <w:tab w:val="num" w:pos="2269"/>
        </w:tabs>
        <w:ind w:left="924" w:hanging="357"/>
        <w:contextualSpacing w:val="0"/>
        <w:rPr>
          <w:highlight w:val="yellow"/>
        </w:rPr>
      </w:pPr>
      <w:r w:rsidRPr="00BF4508">
        <w:rPr>
          <w:highlight w:val="yellow"/>
        </w:rPr>
        <w:t>shodné povinnosti jako v oddílu 2.4.2.</w:t>
      </w:r>
    </w:p>
    <w:p w14:paraId="44C6712B" w14:textId="77777777" w:rsidR="00C02E8C" w:rsidRPr="009E39BD" w:rsidRDefault="00C02E8C" w:rsidP="00C02E8C">
      <w:pPr>
        <w:pStyle w:val="Nadpis2"/>
      </w:pPr>
      <w:bookmarkStart w:id="192" w:name="_Toc281479700"/>
      <w:bookmarkStart w:id="193" w:name="_Toc281484722"/>
      <w:bookmarkStart w:id="194" w:name="_Toc281552477"/>
      <w:bookmarkStart w:id="195" w:name="_Toc281553544"/>
      <w:bookmarkStart w:id="196" w:name="_Toc281812246"/>
      <w:bookmarkStart w:id="197" w:name="_Toc281998032"/>
      <w:bookmarkStart w:id="198" w:name="_Toc281479701"/>
      <w:bookmarkStart w:id="199" w:name="_Toc281484723"/>
      <w:bookmarkStart w:id="200" w:name="_Toc281552478"/>
      <w:bookmarkStart w:id="201" w:name="_Toc281553545"/>
      <w:bookmarkStart w:id="202" w:name="_Toc281812247"/>
      <w:bookmarkStart w:id="203" w:name="_Toc281998033"/>
      <w:bookmarkStart w:id="204" w:name="_Toc281479704"/>
      <w:bookmarkStart w:id="205" w:name="_Toc281484726"/>
      <w:bookmarkStart w:id="206" w:name="_Toc281552481"/>
      <w:bookmarkStart w:id="207" w:name="_Toc281553548"/>
      <w:bookmarkStart w:id="208" w:name="_Toc281812250"/>
      <w:bookmarkStart w:id="209" w:name="_Toc281998036"/>
      <w:bookmarkStart w:id="210" w:name="_Toc281479708"/>
      <w:bookmarkStart w:id="211" w:name="_Toc281484730"/>
      <w:bookmarkStart w:id="212" w:name="_Toc281552485"/>
      <w:bookmarkStart w:id="213" w:name="_Toc281553552"/>
      <w:bookmarkStart w:id="214" w:name="_Toc281812254"/>
      <w:bookmarkStart w:id="215" w:name="_Toc281998040"/>
      <w:bookmarkStart w:id="216" w:name="_Toc281479710"/>
      <w:bookmarkStart w:id="217" w:name="_Toc281484732"/>
      <w:bookmarkStart w:id="218" w:name="_Toc281552487"/>
      <w:bookmarkStart w:id="219" w:name="_Toc281553554"/>
      <w:bookmarkStart w:id="220" w:name="_Toc281812256"/>
      <w:bookmarkStart w:id="221" w:name="_Toc281998042"/>
      <w:bookmarkStart w:id="222" w:name="_Toc281479713"/>
      <w:bookmarkStart w:id="223" w:name="_Toc281484735"/>
      <w:bookmarkStart w:id="224" w:name="_Toc281552490"/>
      <w:bookmarkStart w:id="225" w:name="_Toc281553557"/>
      <w:bookmarkStart w:id="226" w:name="_Toc281812259"/>
      <w:bookmarkStart w:id="227" w:name="_Toc281998045"/>
      <w:bookmarkStart w:id="228" w:name="_Toc519859798"/>
      <w:bookmarkStart w:id="229" w:name="_Toc8976238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9E39BD">
        <w:t xml:space="preserve">Schválení IN k distribuci </w:t>
      </w:r>
      <w:bookmarkEnd w:id="228"/>
      <w:r w:rsidRPr="009E39BD">
        <w:t>VIN</w:t>
      </w:r>
      <w:bookmarkEnd w:id="229"/>
    </w:p>
    <w:p w14:paraId="0BF0655A" w14:textId="77777777" w:rsidR="00C02E8C" w:rsidRPr="009E39BD" w:rsidRDefault="00C02E8C" w:rsidP="00C02E8C">
      <w:pPr>
        <w:tabs>
          <w:tab w:val="num" w:pos="567"/>
          <w:tab w:val="num" w:pos="2269"/>
        </w:tabs>
        <w:ind w:left="567"/>
      </w:pPr>
      <w:r w:rsidRPr="009E39BD">
        <w:t xml:space="preserve">ODIC předkládá implementovaný IN v dohodnutém termínu na VIN ke schválení k distribuci (ke spuštění). Schvalovací list k distribuci </w:t>
      </w:r>
      <w:r>
        <w:t>tvoří nedílnou součást tohoto předpisu a je tvořen přílohou č. 4 „Schválení investičního nástroje k distribuci“.</w:t>
      </w:r>
    </w:p>
    <w:p w14:paraId="206CE24C" w14:textId="77777777" w:rsidR="00C02E8C" w:rsidRPr="009E39BD" w:rsidRDefault="00C02E8C" w:rsidP="00C02E8C">
      <w:pPr>
        <w:tabs>
          <w:tab w:val="num" w:pos="567"/>
          <w:tab w:val="num" w:pos="2269"/>
        </w:tabs>
        <w:ind w:left="567"/>
      </w:pPr>
      <w:r w:rsidRPr="009E39BD">
        <w:t xml:space="preserve">Cílem předložení je schválení IN ze strany VIN do distribuce (ke spuštění). </w:t>
      </w:r>
    </w:p>
    <w:p w14:paraId="0C3244B8" w14:textId="77777777" w:rsidR="00C02E8C" w:rsidRPr="009E39BD" w:rsidRDefault="00C02E8C" w:rsidP="00C02E8C">
      <w:pPr>
        <w:tabs>
          <w:tab w:val="num" w:pos="567"/>
          <w:tab w:val="num" w:pos="2269"/>
        </w:tabs>
        <w:ind w:left="567"/>
      </w:pPr>
      <w:r w:rsidRPr="009E39BD">
        <w:t xml:space="preserve">ODIC zároveň předkládá VIN na vědomí IN, které byly uvedeny do distribuce v rámci Zrychleného režimu na ODIC. </w:t>
      </w:r>
    </w:p>
    <w:p w14:paraId="7F8308C7" w14:textId="77777777" w:rsidR="00C02E8C" w:rsidRPr="009E39BD" w:rsidRDefault="00C02E8C" w:rsidP="00C02E8C">
      <w:pPr>
        <w:pStyle w:val="Nadpis2"/>
      </w:pPr>
      <w:bookmarkStart w:id="230" w:name="_Toc519859799"/>
      <w:bookmarkStart w:id="231" w:name="_Toc89762382"/>
      <w:r w:rsidRPr="009E39BD">
        <w:t>Distribuce nově i</w:t>
      </w:r>
      <w:bookmarkEnd w:id="230"/>
      <w:r w:rsidRPr="009E39BD">
        <w:t>mplementovaného IN</w:t>
      </w:r>
      <w:bookmarkEnd w:id="231"/>
    </w:p>
    <w:p w14:paraId="60F4B480" w14:textId="77777777" w:rsidR="00C02E8C" w:rsidRPr="009E39BD" w:rsidRDefault="00C02E8C" w:rsidP="00C02E8C">
      <w:pPr>
        <w:tabs>
          <w:tab w:val="num" w:pos="567"/>
          <w:tab w:val="num" w:pos="2269"/>
        </w:tabs>
        <w:ind w:left="567"/>
      </w:pPr>
      <w:r w:rsidRPr="009E39BD">
        <w:t xml:space="preserve">Banka má zavedený, udržuje a uplatňuje vhodný systém nabízení IN, který zajišťuje, že IN a investiční služba, které hodlá nabízet nebo </w:t>
      </w:r>
      <w:r w:rsidRPr="0014336E">
        <w:t xml:space="preserve">po zavedení služby investiční poradenství </w:t>
      </w:r>
      <w:r w:rsidRPr="009E39BD">
        <w:t>doporučovat, jsou slučitelné s potřebami, charakteristikami a cíli určeného cílového trhu a zamýšlená prodejní strategie odpovídá určenému cílovému trhu. Cílový trh, distribuční strategie, riziková třída jsou stanoveny již v rámci implementace IN do Banky.</w:t>
      </w:r>
    </w:p>
    <w:p w14:paraId="26BD763B" w14:textId="77777777" w:rsidR="00C02E8C" w:rsidRPr="009E39BD" w:rsidRDefault="00C02E8C" w:rsidP="00C02E8C">
      <w:pPr>
        <w:tabs>
          <w:tab w:val="num" w:pos="567"/>
          <w:tab w:val="num" w:pos="2269"/>
        </w:tabs>
        <w:ind w:left="567"/>
      </w:pPr>
      <w:r w:rsidRPr="009E39BD">
        <w:t>ODIC zajistí, že v rámci zvolených distribučních strategií jsou dodržována pravidla regulace MIFID II, s důrazem mimo jiné na:</w:t>
      </w:r>
    </w:p>
    <w:p w14:paraId="4D6D8635" w14:textId="77777777" w:rsidR="00C02E8C" w:rsidRPr="003C6E15" w:rsidRDefault="00C02E8C" w:rsidP="00C02E8C">
      <w:pPr>
        <w:pStyle w:val="Odstavecseseznamem"/>
        <w:numPr>
          <w:ilvl w:val="0"/>
          <w:numId w:val="14"/>
        </w:numPr>
        <w:tabs>
          <w:tab w:val="num" w:pos="2269"/>
        </w:tabs>
        <w:ind w:left="924" w:hanging="357"/>
        <w:contextualSpacing w:val="0"/>
      </w:pPr>
      <w:r w:rsidRPr="003C6E15">
        <w:t>dodržení pravidel na uveřejňování a nabízení,</w:t>
      </w:r>
    </w:p>
    <w:p w14:paraId="7DC271BF" w14:textId="77777777" w:rsidR="00C02E8C" w:rsidRPr="003C6E15" w:rsidRDefault="00C02E8C" w:rsidP="00C02E8C">
      <w:pPr>
        <w:pStyle w:val="Odstavecseseznamem"/>
        <w:numPr>
          <w:ilvl w:val="0"/>
          <w:numId w:val="14"/>
        </w:numPr>
        <w:tabs>
          <w:tab w:val="num" w:pos="2269"/>
        </w:tabs>
        <w:ind w:left="924" w:hanging="357"/>
        <w:contextualSpacing w:val="0"/>
      </w:pPr>
      <w:r w:rsidRPr="003C6E15">
        <w:t>dodržení pravidel pro řízení střetu zájmů a pobídek,</w:t>
      </w:r>
    </w:p>
    <w:p w14:paraId="2792AC11" w14:textId="77777777" w:rsidR="00C02E8C" w:rsidRPr="003C6E15" w:rsidRDefault="00C02E8C" w:rsidP="00C02E8C">
      <w:pPr>
        <w:pStyle w:val="Odstavecseseznamem"/>
        <w:numPr>
          <w:ilvl w:val="0"/>
          <w:numId w:val="14"/>
        </w:numPr>
        <w:tabs>
          <w:tab w:val="num" w:pos="2269"/>
        </w:tabs>
        <w:ind w:left="924" w:hanging="357"/>
        <w:contextualSpacing w:val="0"/>
      </w:pPr>
      <w:r w:rsidRPr="003C6E15">
        <w:t>dodržení pravidel pro vyhodnocování vhodnosti nebo přiměřenosti – řádné posouzení charakteristiky a potřeb klientů.</w:t>
      </w:r>
    </w:p>
    <w:p w14:paraId="40DFCF6F" w14:textId="77777777" w:rsidR="00C02E8C" w:rsidRPr="009E39BD" w:rsidRDefault="00C02E8C" w:rsidP="00C02E8C">
      <w:pPr>
        <w:tabs>
          <w:tab w:val="num" w:pos="567"/>
        </w:tabs>
        <w:ind w:left="567"/>
      </w:pPr>
      <w:r w:rsidRPr="009E39BD">
        <w:t>ODIC zajistí, aby v případě přímé nabídky klientovi tento od Banky obdržel Informace nutné pro realizaci distribuce IN ke klientovi.</w:t>
      </w:r>
    </w:p>
    <w:p w14:paraId="6525A532" w14:textId="77777777" w:rsidR="00C02E8C" w:rsidRPr="009E39BD" w:rsidRDefault="00C02E8C" w:rsidP="00C02E8C">
      <w:pPr>
        <w:tabs>
          <w:tab w:val="num" w:pos="567"/>
        </w:tabs>
        <w:ind w:left="567"/>
      </w:pPr>
      <w:r w:rsidRPr="009E39BD">
        <w:t>Banka zajistí, aby příslušní distributoři obdrželi od OEP Informace nutné pro realizaci distribuce IN ke klientovi, za jejichž předání klientovi je distributor zodpovědný. Tento distributor je zároveň zodpovědný za plnění povinností v oblasti nabízení IN. Tyto závazky jsou ukotveny ve smlouvě mezi Bankou a distributorem.</w:t>
      </w:r>
    </w:p>
    <w:p w14:paraId="703F6121" w14:textId="77777777" w:rsidR="00C02E8C" w:rsidRPr="009E39BD" w:rsidRDefault="00C02E8C" w:rsidP="00C02E8C">
      <w:pPr>
        <w:tabs>
          <w:tab w:val="num" w:pos="567"/>
          <w:tab w:val="num" w:pos="2269"/>
        </w:tabs>
        <w:ind w:left="567"/>
      </w:pPr>
      <w:r w:rsidRPr="009E39BD">
        <w:t xml:space="preserve">V případech, kdy Banka </w:t>
      </w:r>
      <w:r w:rsidRPr="0014336E">
        <w:t>nabízí IN jiného tvůrce, nebo nabídku</w:t>
      </w:r>
      <w:r w:rsidRPr="009E39BD">
        <w:t xml:space="preserve"> IN zprostředkovává:</w:t>
      </w:r>
    </w:p>
    <w:p w14:paraId="4A7E1364" w14:textId="77777777" w:rsidR="00C02E8C" w:rsidRPr="009E39BD" w:rsidRDefault="00C02E8C" w:rsidP="00C02E8C">
      <w:pPr>
        <w:pStyle w:val="Odstavecseseznamem"/>
        <w:numPr>
          <w:ilvl w:val="0"/>
          <w:numId w:val="14"/>
        </w:numPr>
        <w:tabs>
          <w:tab w:val="num" w:pos="2269"/>
        </w:tabs>
        <w:ind w:left="924" w:hanging="357"/>
        <w:contextualSpacing w:val="0"/>
      </w:pPr>
      <w:r w:rsidRPr="009E39BD">
        <w:t>umožní, aby tvůrce IN obdržel informace o prodeji</w:t>
      </w:r>
      <w:r>
        <w:t xml:space="preserve"> tohoto IN</w:t>
      </w:r>
      <w:r w:rsidRPr="009E39BD">
        <w:t xml:space="preserve">, jestliže je požaduje, aby mohl splnit své vlastní povinnosti v oblasti řízení IN, </w:t>
      </w:r>
    </w:p>
    <w:p w14:paraId="61BACC73" w14:textId="77777777" w:rsidR="00C02E8C" w:rsidRPr="009E39BD" w:rsidRDefault="00C02E8C" w:rsidP="00C02E8C">
      <w:pPr>
        <w:pStyle w:val="Odstavecseseznamem"/>
        <w:numPr>
          <w:ilvl w:val="0"/>
          <w:numId w:val="14"/>
        </w:numPr>
        <w:tabs>
          <w:tab w:val="num" w:pos="2269"/>
        </w:tabs>
        <w:ind w:left="924" w:hanging="357"/>
        <w:contextualSpacing w:val="0"/>
      </w:pPr>
      <w:r w:rsidRPr="009E39BD">
        <w:t>případně uplatňuje povinnosti tvůrce IN v oblasti řízení IN na služby, které poskytuje.</w:t>
      </w:r>
    </w:p>
    <w:p w14:paraId="564251E9" w14:textId="77777777" w:rsidR="00C02E8C" w:rsidRPr="009E39BD" w:rsidRDefault="00C02E8C" w:rsidP="00C02E8C">
      <w:pPr>
        <w:pStyle w:val="Nadpis2"/>
      </w:pPr>
      <w:bookmarkStart w:id="232" w:name="_Toc89762383"/>
      <w:r w:rsidRPr="009E39BD">
        <w:lastRenderedPageBreak/>
        <w:t>Monitoring a reporting v souvislosti s tvorbou, implementací a distribucí IN</w:t>
      </w:r>
      <w:bookmarkEnd w:id="232"/>
    </w:p>
    <w:p w14:paraId="494D3455" w14:textId="77777777" w:rsidR="00C02E8C" w:rsidRPr="009E39BD" w:rsidRDefault="00C02E8C" w:rsidP="00C02E8C">
      <w:pPr>
        <w:tabs>
          <w:tab w:val="num" w:pos="567"/>
        </w:tabs>
        <w:ind w:left="567"/>
        <w:rPr>
          <w:rStyle w:val="Bezbarvy"/>
        </w:rPr>
      </w:pPr>
      <w:r>
        <w:t>ODIC</w:t>
      </w:r>
      <w:r w:rsidRPr="009E39BD">
        <w:t xml:space="preserve"> určí rozhodující události, které by mohly mít vliv na potencionální riziko pro klienta nebo očekávaný výnos IN. </w:t>
      </w:r>
      <w:r w:rsidRPr="009E39BD">
        <w:rPr>
          <w:rStyle w:val="Bezbarvy"/>
        </w:rPr>
        <w:t>Může se jednat o:</w:t>
      </w:r>
    </w:p>
    <w:p w14:paraId="31DD6ECE"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významné změny v charakteristice vlastností IN, </w:t>
      </w:r>
    </w:p>
    <w:p w14:paraId="16F0AB15"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významné změny vnějšího prostředí, které mohou ovlivnit potenciální riziko pro investory, </w:t>
      </w:r>
    </w:p>
    <w:p w14:paraId="29DFFABB" w14:textId="77777777" w:rsidR="00C02E8C" w:rsidRPr="009E39BD" w:rsidRDefault="00C02E8C" w:rsidP="00C02E8C">
      <w:pPr>
        <w:pStyle w:val="Odstavecseseznamem"/>
        <w:numPr>
          <w:ilvl w:val="0"/>
          <w:numId w:val="14"/>
        </w:numPr>
        <w:tabs>
          <w:tab w:val="num" w:pos="2269"/>
        </w:tabs>
        <w:ind w:left="924" w:hanging="357"/>
        <w:contextualSpacing w:val="0"/>
      </w:pPr>
      <w:r w:rsidRPr="009E39BD">
        <w:t>významné změny na straně emitenta.</w:t>
      </w:r>
    </w:p>
    <w:p w14:paraId="10A290F5" w14:textId="77777777" w:rsidR="00C02E8C" w:rsidRPr="009E39BD" w:rsidRDefault="00C02E8C" w:rsidP="00C02E8C">
      <w:pPr>
        <w:tabs>
          <w:tab w:val="num" w:pos="567"/>
        </w:tabs>
        <w:ind w:left="567"/>
        <w:rPr>
          <w:rStyle w:val="Bezbarvy"/>
        </w:rPr>
      </w:pPr>
      <w:r>
        <w:rPr>
          <w:rStyle w:val="Bezbarvy"/>
        </w:rPr>
        <w:t>ODIC provede p</w:t>
      </w:r>
      <w:r w:rsidRPr="009E39BD">
        <w:rPr>
          <w:rStyle w:val="Bezbarvy"/>
        </w:rPr>
        <w:t>ravidelné hodnocení IN z hlediska cílového trhu a souladu vlastností IN s potřebami a charakteristikami cílového trhu. Banka zejména musí reagovat na případné rozhodující události:</w:t>
      </w:r>
    </w:p>
    <w:p w14:paraId="479FC33F" w14:textId="77777777" w:rsidR="00C02E8C" w:rsidRPr="009E39BD" w:rsidRDefault="00C02E8C" w:rsidP="00C02E8C">
      <w:pPr>
        <w:pStyle w:val="Odstavecseseznamem"/>
        <w:numPr>
          <w:ilvl w:val="0"/>
          <w:numId w:val="14"/>
        </w:numPr>
        <w:tabs>
          <w:tab w:val="num" w:pos="2269"/>
        </w:tabs>
        <w:ind w:left="924" w:hanging="357"/>
        <w:contextualSpacing w:val="0"/>
      </w:pPr>
      <w:r w:rsidRPr="009E39BD">
        <w:t>Před každou emisí či znovuuvedením na trh nebo alespoň jednou ročně nebo při výskytu rozhodující události.</w:t>
      </w:r>
    </w:p>
    <w:p w14:paraId="57122339" w14:textId="77777777" w:rsidR="00C02E8C" w:rsidRPr="009E39BD" w:rsidRDefault="00C02E8C" w:rsidP="00C02E8C">
      <w:pPr>
        <w:tabs>
          <w:tab w:val="num" w:pos="567"/>
        </w:tabs>
        <w:ind w:left="567"/>
      </w:pPr>
      <w:r>
        <w:t>ODIC provede p</w:t>
      </w:r>
      <w:r w:rsidRPr="009E39BD">
        <w:t>ravidelné hodnocení KID:</w:t>
      </w:r>
    </w:p>
    <w:p w14:paraId="6DDE2BA7" w14:textId="77777777" w:rsidR="00C02E8C" w:rsidRPr="009E39BD" w:rsidRDefault="00C02E8C" w:rsidP="00C02E8C">
      <w:pPr>
        <w:pStyle w:val="Odstavecseseznamem"/>
        <w:numPr>
          <w:ilvl w:val="0"/>
          <w:numId w:val="14"/>
        </w:numPr>
        <w:tabs>
          <w:tab w:val="num" w:pos="2269"/>
        </w:tabs>
        <w:ind w:left="924" w:hanging="357"/>
        <w:contextualSpacing w:val="0"/>
      </w:pPr>
      <w:r w:rsidRPr="009E39BD">
        <w:t>Při změnách nebo minimálně jednou ročně.</w:t>
      </w:r>
    </w:p>
    <w:p w14:paraId="7F3D9FB9" w14:textId="77777777" w:rsidR="00C02E8C" w:rsidRPr="009E39BD" w:rsidRDefault="00C02E8C" w:rsidP="00C02E8C">
      <w:pPr>
        <w:tabs>
          <w:tab w:val="num" w:pos="567"/>
        </w:tabs>
        <w:ind w:left="567"/>
      </w:pPr>
      <w:r>
        <w:t>OCA</w:t>
      </w:r>
      <w:r w:rsidRPr="009E39BD">
        <w:t xml:space="preserve"> průběžně ověřuje a pravidelně hodnotí systém nabízení IN, aby bylo zajištěno, že bude stále odpovídající a vhodný pro svůj účel a v případě potřeby zjedná bez zbytečného odkladu odpovídající nápravu.</w:t>
      </w:r>
    </w:p>
    <w:p w14:paraId="7A25785C" w14:textId="77777777" w:rsidR="00C02E8C" w:rsidRPr="009E39BD" w:rsidRDefault="00C02E8C" w:rsidP="00C02E8C">
      <w:pPr>
        <w:tabs>
          <w:tab w:val="num" w:pos="567"/>
        </w:tabs>
        <w:ind w:left="567"/>
      </w:pPr>
      <w:r w:rsidRPr="009E39BD">
        <w:t xml:space="preserve">Výstup z monitorování </w:t>
      </w:r>
      <w:r>
        <w:t>IN</w:t>
      </w:r>
      <w:r w:rsidRPr="009E39BD">
        <w:t>:</w:t>
      </w:r>
    </w:p>
    <w:p w14:paraId="0A8760E1" w14:textId="77777777" w:rsidR="00C02E8C" w:rsidRPr="009E39BD" w:rsidRDefault="00C02E8C" w:rsidP="00C02E8C">
      <w:pPr>
        <w:pStyle w:val="Odstavecseseznamem"/>
        <w:numPr>
          <w:ilvl w:val="0"/>
          <w:numId w:val="14"/>
        </w:numPr>
        <w:tabs>
          <w:tab w:val="num" w:pos="2269"/>
        </w:tabs>
        <w:ind w:left="924" w:hanging="357"/>
        <w:contextualSpacing w:val="0"/>
      </w:pPr>
      <w:r w:rsidRPr="009E39BD">
        <w:t>poskytnutí všech podstatných informací o události a jejích důsledcích pro IN klientovi nebo distributorovi IN,</w:t>
      </w:r>
    </w:p>
    <w:p w14:paraId="069C4A2B" w14:textId="77777777" w:rsidR="00C02E8C" w:rsidRPr="009E39BD" w:rsidRDefault="00C02E8C" w:rsidP="00C02E8C">
      <w:pPr>
        <w:pStyle w:val="Odstavecseseznamem"/>
        <w:numPr>
          <w:ilvl w:val="0"/>
          <w:numId w:val="14"/>
        </w:numPr>
        <w:tabs>
          <w:tab w:val="num" w:pos="2269"/>
        </w:tabs>
        <w:ind w:left="924" w:hanging="357"/>
        <w:contextualSpacing w:val="0"/>
      </w:pPr>
      <w:r w:rsidRPr="009E39BD">
        <w:t>změna procesu schvalování IN,</w:t>
      </w:r>
    </w:p>
    <w:p w14:paraId="34D61077" w14:textId="77777777" w:rsidR="00C02E8C" w:rsidRPr="009E39BD" w:rsidRDefault="00C02E8C" w:rsidP="00C02E8C">
      <w:pPr>
        <w:pStyle w:val="Odstavecseseznamem"/>
        <w:numPr>
          <w:ilvl w:val="0"/>
          <w:numId w:val="14"/>
        </w:numPr>
        <w:tabs>
          <w:tab w:val="num" w:pos="2269"/>
        </w:tabs>
        <w:ind w:left="924" w:hanging="357"/>
        <w:contextualSpacing w:val="0"/>
      </w:pPr>
      <w:r w:rsidRPr="009E39BD">
        <w:t>zastavení dalšího vydávání IN,</w:t>
      </w:r>
    </w:p>
    <w:p w14:paraId="13426B97" w14:textId="77777777" w:rsidR="00C02E8C" w:rsidRPr="009E39BD" w:rsidRDefault="00C02E8C" w:rsidP="00C02E8C">
      <w:pPr>
        <w:pStyle w:val="Odstavecseseznamem"/>
        <w:numPr>
          <w:ilvl w:val="0"/>
          <w:numId w:val="14"/>
        </w:numPr>
        <w:tabs>
          <w:tab w:val="num" w:pos="2269"/>
        </w:tabs>
        <w:ind w:left="924" w:hanging="357"/>
        <w:contextualSpacing w:val="0"/>
      </w:pPr>
      <w:r w:rsidRPr="009E39BD">
        <w:t>změna IN, aby nebyly sjednávány nespravedlivé smluvní podmínky,</w:t>
      </w:r>
    </w:p>
    <w:p w14:paraId="762648D5" w14:textId="77777777" w:rsidR="00C02E8C" w:rsidRPr="009E39BD" w:rsidRDefault="00C02E8C" w:rsidP="00C02E8C">
      <w:pPr>
        <w:pStyle w:val="Odstavecseseznamem"/>
        <w:numPr>
          <w:ilvl w:val="0"/>
          <w:numId w:val="14"/>
        </w:numPr>
        <w:tabs>
          <w:tab w:val="num" w:pos="2269"/>
        </w:tabs>
        <w:ind w:left="924" w:hanging="357"/>
        <w:contextualSpacing w:val="0"/>
      </w:pPr>
      <w:r w:rsidRPr="009E39BD">
        <w:t xml:space="preserve">změna distribuční sítě, přes kterou se IN nabízejí, pokud se Banka dozví, že IN není nabízen tak, jak </w:t>
      </w:r>
      <w:r w:rsidRPr="0014336E">
        <w:t>tvůrce IN, případně distributor</w:t>
      </w:r>
      <w:r>
        <w:t>,</w:t>
      </w:r>
      <w:r w:rsidRPr="0014336E">
        <w:t xml:space="preserve"> </w:t>
      </w:r>
      <w:r w:rsidRPr="009E39BD">
        <w:t>předpokládal,</w:t>
      </w:r>
    </w:p>
    <w:p w14:paraId="35C5106F" w14:textId="77777777" w:rsidR="00C02E8C" w:rsidRPr="009E39BD" w:rsidRDefault="00C02E8C" w:rsidP="00C02E8C">
      <w:pPr>
        <w:pStyle w:val="Odstavecseseznamem"/>
        <w:numPr>
          <w:ilvl w:val="0"/>
          <w:numId w:val="14"/>
        </w:numPr>
        <w:tabs>
          <w:tab w:val="num" w:pos="2269"/>
        </w:tabs>
        <w:ind w:left="924" w:hanging="357"/>
        <w:contextualSpacing w:val="0"/>
      </w:pPr>
      <w:r w:rsidRPr="009E39BD">
        <w:t>kontaktování distributora IN za účelem projednání úpravy procesu distribuce,</w:t>
      </w:r>
    </w:p>
    <w:p w14:paraId="6414524E" w14:textId="77777777" w:rsidR="00C02E8C" w:rsidRPr="009E39BD" w:rsidRDefault="00C02E8C" w:rsidP="00C02E8C">
      <w:pPr>
        <w:pStyle w:val="Odstavecseseznamem"/>
        <w:numPr>
          <w:ilvl w:val="0"/>
          <w:numId w:val="14"/>
        </w:numPr>
        <w:tabs>
          <w:tab w:val="num" w:pos="2269"/>
        </w:tabs>
        <w:ind w:left="924" w:hanging="357"/>
        <w:contextualSpacing w:val="0"/>
      </w:pPr>
      <w:r w:rsidRPr="009E39BD">
        <w:t>ukončení smluvního vztahu s distributorem IN nebo</w:t>
      </w:r>
    </w:p>
    <w:p w14:paraId="7AA66E52" w14:textId="77777777" w:rsidR="00C02E8C" w:rsidRPr="009E39BD" w:rsidRDefault="00C02E8C" w:rsidP="00C02E8C">
      <w:pPr>
        <w:pStyle w:val="Odstavecseseznamem"/>
        <w:numPr>
          <w:ilvl w:val="0"/>
          <w:numId w:val="14"/>
        </w:numPr>
        <w:tabs>
          <w:tab w:val="num" w:pos="2269"/>
        </w:tabs>
        <w:ind w:left="924" w:hanging="357"/>
        <w:contextualSpacing w:val="0"/>
      </w:pPr>
      <w:r w:rsidRPr="009E39BD">
        <w:t>informování České národní banky.</w:t>
      </w:r>
    </w:p>
    <w:p w14:paraId="5DE346E2" w14:textId="77777777" w:rsidR="00C02E8C" w:rsidRPr="009E39BD" w:rsidRDefault="00C02E8C" w:rsidP="00C02E8C">
      <w:pPr>
        <w:ind w:left="567"/>
        <w:rPr>
          <w:rStyle w:val="Bezbarvy"/>
        </w:rPr>
      </w:pPr>
      <w:r w:rsidRPr="009E39BD">
        <w:rPr>
          <w:rStyle w:val="Bezbarvy"/>
        </w:rPr>
        <w:t xml:space="preserve">V případě, že Banka distribuuje IN jiného tvůrce, poskytuje </w:t>
      </w:r>
      <w:r>
        <w:rPr>
          <w:rStyle w:val="Bezbarvy"/>
        </w:rPr>
        <w:t>tomuto</w:t>
      </w:r>
      <w:r w:rsidRPr="009E39BD">
        <w:rPr>
          <w:rStyle w:val="Bezbarvy"/>
        </w:rPr>
        <w:t xml:space="preserve"> tvůrci informace o prodeji jednotlivého IN a objem distribuovaných jednotlivých IN. </w:t>
      </w:r>
    </w:p>
    <w:p w14:paraId="7323391F" w14:textId="77777777" w:rsidR="00C02E8C" w:rsidRPr="009E39BD" w:rsidRDefault="00C02E8C" w:rsidP="00C02E8C">
      <w:pPr>
        <w:pStyle w:val="Nadpis2"/>
      </w:pPr>
      <w:bookmarkStart w:id="233" w:name="_Toc89762384"/>
      <w:r w:rsidRPr="009E39BD">
        <w:t>Stažení produktu z aktivní nabídky</w:t>
      </w:r>
      <w:bookmarkEnd w:id="233"/>
    </w:p>
    <w:p w14:paraId="29533F1E" w14:textId="77777777" w:rsidR="00C02E8C" w:rsidRPr="009E39BD" w:rsidRDefault="00C02E8C" w:rsidP="00C02E8C">
      <w:pPr>
        <w:ind w:left="567"/>
        <w:rPr>
          <w:rStyle w:val="Bezbarvy"/>
        </w:rPr>
      </w:pPr>
      <w:r w:rsidRPr="009E39BD">
        <w:rPr>
          <w:rStyle w:val="Bezbarvy"/>
        </w:rPr>
        <w:t>Ke stažení IN z aktivní nabídky dochází:</w:t>
      </w:r>
    </w:p>
    <w:p w14:paraId="79A92841" w14:textId="77777777" w:rsidR="00C02E8C" w:rsidRPr="009E39BD" w:rsidRDefault="00C02E8C" w:rsidP="00C02E8C">
      <w:pPr>
        <w:pStyle w:val="Odstavecseseznamem"/>
        <w:numPr>
          <w:ilvl w:val="0"/>
          <w:numId w:val="32"/>
        </w:numPr>
        <w:contextualSpacing w:val="0"/>
      </w:pPr>
      <w:r w:rsidRPr="009E39BD">
        <w:t>maturitou IN,</w:t>
      </w:r>
    </w:p>
    <w:p w14:paraId="697A34F4" w14:textId="77777777" w:rsidR="00C02E8C" w:rsidRPr="009E39BD" w:rsidRDefault="00C02E8C" w:rsidP="00C02E8C">
      <w:pPr>
        <w:pStyle w:val="Odstavecseseznamem"/>
        <w:numPr>
          <w:ilvl w:val="0"/>
          <w:numId w:val="32"/>
        </w:numPr>
        <w:contextualSpacing w:val="0"/>
      </w:pPr>
      <w:r w:rsidRPr="009E39BD">
        <w:t>z rozhodnutí Banky</w:t>
      </w:r>
      <w:r>
        <w:t xml:space="preserve">; ta </w:t>
      </w:r>
      <w:r w:rsidRPr="0014336E">
        <w:rPr>
          <w:rStyle w:val="Bezbarvy"/>
        </w:rPr>
        <w:t>tak může rozhodnout například</w:t>
      </w:r>
      <w:r>
        <w:rPr>
          <w:rStyle w:val="Bezbarvy"/>
        </w:rPr>
        <w:t>,</w:t>
      </w:r>
      <w:r w:rsidRPr="0014336E">
        <w:rPr>
          <w:rStyle w:val="Bezbarvy"/>
        </w:rPr>
        <w:t xml:space="preserve"> pokud není po IN dlouhodobě poptávka, IN je pro Banku ekonomicky nezajímavý a jiné</w:t>
      </w:r>
      <w:r>
        <w:rPr>
          <w:rStyle w:val="Bezbarvy"/>
        </w:rPr>
        <w:t>,</w:t>
      </w:r>
    </w:p>
    <w:p w14:paraId="104E71D9" w14:textId="77777777" w:rsidR="00C02E8C" w:rsidRDefault="00C02E8C" w:rsidP="00C02E8C">
      <w:pPr>
        <w:pStyle w:val="Odstavecseseznamem"/>
        <w:numPr>
          <w:ilvl w:val="0"/>
          <w:numId w:val="32"/>
        </w:numPr>
        <w:contextualSpacing w:val="0"/>
      </w:pPr>
      <w:r w:rsidRPr="009E39BD">
        <w:t>z rozhodnutí emitenta</w:t>
      </w:r>
      <w:r>
        <w:t>:</w:t>
      </w:r>
    </w:p>
    <w:p w14:paraId="2C725951" w14:textId="77777777" w:rsidR="00C02E8C" w:rsidRDefault="00C02E8C" w:rsidP="00C02E8C">
      <w:pPr>
        <w:pStyle w:val="Odstavecseseznamem"/>
        <w:numPr>
          <w:ilvl w:val="0"/>
          <w:numId w:val="35"/>
        </w:numPr>
        <w:rPr>
          <w:rStyle w:val="Bezbarvy"/>
        </w:rPr>
      </w:pPr>
      <w:r w:rsidRPr="0014336E">
        <w:rPr>
          <w:rStyle w:val="Bezbarvy"/>
        </w:rPr>
        <w:t>V případě fondů kolektivního investování se jedná nejčastěji o korporátní akci.</w:t>
      </w:r>
    </w:p>
    <w:p w14:paraId="39D936D7" w14:textId="77777777" w:rsidR="00C02E8C" w:rsidRPr="0014336E" w:rsidRDefault="00C02E8C" w:rsidP="00C02E8C">
      <w:pPr>
        <w:pStyle w:val="Odstavecseseznamem"/>
        <w:numPr>
          <w:ilvl w:val="0"/>
          <w:numId w:val="34"/>
        </w:numPr>
        <w:rPr>
          <w:rStyle w:val="Bezbarvy"/>
        </w:rPr>
      </w:pPr>
      <w:r w:rsidRPr="0014336E">
        <w:rPr>
          <w:rStyle w:val="Bezbarvy"/>
        </w:rPr>
        <w:t>Z tohoto důvodu stažené produkty z nabídky jsou zařazeny do Q zprávy pro představenstvo Banky.</w:t>
      </w:r>
    </w:p>
    <w:p w14:paraId="5D19BBB5" w14:textId="77777777" w:rsidR="00C02E8C" w:rsidRPr="0014336E" w:rsidRDefault="00C02E8C" w:rsidP="00C02E8C">
      <w:pPr>
        <w:pStyle w:val="Odstavecseseznamem"/>
        <w:numPr>
          <w:ilvl w:val="0"/>
          <w:numId w:val="35"/>
        </w:numPr>
        <w:spacing w:after="0"/>
        <w:rPr>
          <w:rStyle w:val="Bezbarvy"/>
          <w:szCs w:val="20"/>
        </w:rPr>
      </w:pPr>
      <w:r w:rsidRPr="0014336E">
        <w:rPr>
          <w:rStyle w:val="Bezbarvy"/>
        </w:rPr>
        <w:t xml:space="preserve">V případě dluhopisů je typickou korporátní akcí využití call opce emitenta v souladu s Emisními podmínkami. </w:t>
      </w:r>
    </w:p>
    <w:p w14:paraId="3F42F448" w14:textId="77777777" w:rsidR="00C02E8C" w:rsidRPr="0014336E" w:rsidRDefault="00C02E8C" w:rsidP="00C02E8C">
      <w:pPr>
        <w:pStyle w:val="Odstavecseseznamem"/>
        <w:numPr>
          <w:ilvl w:val="0"/>
          <w:numId w:val="34"/>
        </w:numPr>
        <w:spacing w:after="0"/>
        <w:rPr>
          <w:rStyle w:val="Bezbarvy"/>
          <w:szCs w:val="20"/>
        </w:rPr>
      </w:pPr>
      <w:r w:rsidRPr="0014336E">
        <w:rPr>
          <w:rStyle w:val="Bezbarvy"/>
        </w:rPr>
        <w:t xml:space="preserve">Předčasnou splatnost dluhopisů dává ODIC VIN na vědomí při jeho nejbližším jednání. </w:t>
      </w:r>
    </w:p>
    <w:p w14:paraId="06A24CB8" w14:textId="77777777" w:rsidR="00C02E8C" w:rsidRPr="0079009D" w:rsidRDefault="00C02E8C" w:rsidP="00C02E8C">
      <w:pPr>
        <w:pStyle w:val="Odstavecseseznamem"/>
        <w:numPr>
          <w:ilvl w:val="0"/>
          <w:numId w:val="32"/>
        </w:numPr>
        <w:contextualSpacing w:val="0"/>
      </w:pPr>
      <w:r w:rsidRPr="0079009D">
        <w:t xml:space="preserve">V případě, že na </w:t>
      </w:r>
      <w:r>
        <w:t xml:space="preserve">majetek </w:t>
      </w:r>
      <w:r w:rsidRPr="0079009D">
        <w:t xml:space="preserve">emitenta je </w:t>
      </w:r>
      <w:r>
        <w:t>prohlášen</w:t>
      </w:r>
      <w:r w:rsidRPr="0079009D">
        <w:t xml:space="preserve"> konkur</w:t>
      </w:r>
      <w:r>
        <w:t>s</w:t>
      </w:r>
      <w:r w:rsidRPr="0079009D">
        <w:t xml:space="preserve"> nebo </w:t>
      </w:r>
      <w:r>
        <w:t xml:space="preserve">je s emitentem zahájeno </w:t>
      </w:r>
      <w:r w:rsidRPr="0079009D">
        <w:t>insolven</w:t>
      </w:r>
      <w:r>
        <w:t>ční řízení</w:t>
      </w:r>
      <w:r w:rsidRPr="0079009D">
        <w:t>. Ke stažení může dojít také</w:t>
      </w:r>
      <w:r>
        <w:t xml:space="preserve">, </w:t>
      </w:r>
      <w:r w:rsidRPr="0079009D">
        <w:t>pokud emitent poruší Prospekt</w:t>
      </w:r>
      <w:r>
        <w:t>,</w:t>
      </w:r>
      <w:r w:rsidRPr="0079009D">
        <w:t xml:space="preserve"> v důsledku čehož dojde k pozastavení obchodování na veřejném regulovaném trhu.</w:t>
      </w:r>
    </w:p>
    <w:p w14:paraId="1B65EB2A" w14:textId="77777777" w:rsidR="00C02E8C" w:rsidRPr="0014336E" w:rsidRDefault="00C02E8C" w:rsidP="00C02E8C">
      <w:pPr>
        <w:pStyle w:val="Odstavecseseznamem"/>
        <w:numPr>
          <w:ilvl w:val="0"/>
          <w:numId w:val="35"/>
        </w:numPr>
        <w:spacing w:after="0"/>
        <w:rPr>
          <w:rStyle w:val="Bezbarvy"/>
        </w:rPr>
      </w:pPr>
      <w:r w:rsidRPr="0014336E">
        <w:rPr>
          <w:rStyle w:val="Bezbarvy"/>
        </w:rPr>
        <w:lastRenderedPageBreak/>
        <w:t xml:space="preserve">Ukončení nabídky IN z těchto důvodů ODIC předkládá na vědomí VIN v rámci jeho nejbližšího jednání. </w:t>
      </w:r>
    </w:p>
    <w:p w14:paraId="2FFB6634" w14:textId="77777777" w:rsidR="00C02E8C" w:rsidRPr="009E39BD" w:rsidRDefault="00C02E8C" w:rsidP="00C02E8C">
      <w:pPr>
        <w:pStyle w:val="Odstavecseseznamem"/>
        <w:numPr>
          <w:ilvl w:val="0"/>
          <w:numId w:val="32"/>
        </w:numPr>
        <w:contextualSpacing w:val="0"/>
      </w:pPr>
      <w:r w:rsidRPr="009E39BD">
        <w:t>nastane-li situace, že IN nesplňuje z jakýchkoli důvodů zákonné požadavky. To může být zjištěno v rámci pravidelného přezkoumání IN, nebo naopak, přezkoumání produktu je provedeno na základě zjištění, které by mohlo mít významný dopad do charakteristik IN.</w:t>
      </w:r>
    </w:p>
    <w:p w14:paraId="5A8C985B" w14:textId="77777777" w:rsidR="00C02E8C" w:rsidRPr="009E39BD" w:rsidRDefault="00C02E8C" w:rsidP="00C02E8C">
      <w:pPr>
        <w:pStyle w:val="Nadpis2"/>
      </w:pPr>
      <w:bookmarkStart w:id="234" w:name="_Toc89762385"/>
      <w:r w:rsidRPr="009E39BD">
        <w:t>Seznam IN Banky</w:t>
      </w:r>
      <w:bookmarkEnd w:id="234"/>
    </w:p>
    <w:p w14:paraId="5EBDAF20" w14:textId="77777777" w:rsidR="00C02E8C" w:rsidRPr="009E39BD" w:rsidRDefault="00C02E8C" w:rsidP="00C02E8C">
      <w:pPr>
        <w:ind w:left="567"/>
        <w:rPr>
          <w:rStyle w:val="Bezbarvy"/>
        </w:rPr>
      </w:pPr>
      <w:r w:rsidRPr="009E39BD">
        <w:rPr>
          <w:rStyle w:val="Bezbarvy"/>
        </w:rPr>
        <w:t>U IN je odpovědný za správnost a aktuálnost produktových konfigurací vedoucí ODIC.</w:t>
      </w:r>
    </w:p>
    <w:p w14:paraId="2DF45730" w14:textId="77777777" w:rsidR="00C02E8C" w:rsidRPr="009E39BD" w:rsidRDefault="00C02E8C" w:rsidP="00C02E8C">
      <w:pPr>
        <w:pStyle w:val="Nadpis2"/>
      </w:pPr>
      <w:bookmarkStart w:id="235" w:name="_Toc281479718"/>
      <w:bookmarkStart w:id="236" w:name="_Toc281484741"/>
      <w:bookmarkStart w:id="237" w:name="_Toc281552496"/>
      <w:bookmarkStart w:id="238" w:name="_Toc281553563"/>
      <w:bookmarkStart w:id="239" w:name="_Toc281812265"/>
      <w:bookmarkStart w:id="240" w:name="_Toc281998051"/>
      <w:bookmarkStart w:id="241" w:name="_Toc281479725"/>
      <w:bookmarkStart w:id="242" w:name="_Toc281484748"/>
      <w:bookmarkStart w:id="243" w:name="_Toc281552503"/>
      <w:bookmarkStart w:id="244" w:name="_Toc281553570"/>
      <w:bookmarkStart w:id="245" w:name="_Toc281812272"/>
      <w:bookmarkStart w:id="246" w:name="_Toc281998058"/>
      <w:bookmarkStart w:id="247" w:name="_Toc281479726"/>
      <w:bookmarkStart w:id="248" w:name="_Toc281484749"/>
      <w:bookmarkStart w:id="249" w:name="_Toc281552504"/>
      <w:bookmarkStart w:id="250" w:name="_Toc281553571"/>
      <w:bookmarkStart w:id="251" w:name="_Toc281812273"/>
      <w:bookmarkStart w:id="252" w:name="_Toc281998059"/>
      <w:bookmarkStart w:id="253" w:name="_Toc281479729"/>
      <w:bookmarkStart w:id="254" w:name="_Toc281484752"/>
      <w:bookmarkStart w:id="255" w:name="_Toc281552507"/>
      <w:bookmarkStart w:id="256" w:name="_Toc281553574"/>
      <w:bookmarkStart w:id="257" w:name="_Toc281812276"/>
      <w:bookmarkStart w:id="258" w:name="_Toc281998062"/>
      <w:bookmarkStart w:id="259" w:name="_Toc281479733"/>
      <w:bookmarkStart w:id="260" w:name="_Toc281484756"/>
      <w:bookmarkStart w:id="261" w:name="_Toc281552511"/>
      <w:bookmarkStart w:id="262" w:name="_Toc281553578"/>
      <w:bookmarkStart w:id="263" w:name="_Toc281812280"/>
      <w:bookmarkStart w:id="264" w:name="_Toc281998066"/>
      <w:bookmarkStart w:id="265" w:name="_Toc281479736"/>
      <w:bookmarkStart w:id="266" w:name="_Toc281484759"/>
      <w:bookmarkStart w:id="267" w:name="_Toc281552514"/>
      <w:bookmarkStart w:id="268" w:name="_Toc281553581"/>
      <w:bookmarkStart w:id="269" w:name="_Toc281812283"/>
      <w:bookmarkStart w:id="270" w:name="_Toc281998069"/>
      <w:bookmarkStart w:id="271" w:name="_Toc281479739"/>
      <w:bookmarkStart w:id="272" w:name="_Toc281484762"/>
      <w:bookmarkStart w:id="273" w:name="_Toc281552517"/>
      <w:bookmarkStart w:id="274" w:name="_Toc281553584"/>
      <w:bookmarkStart w:id="275" w:name="_Toc281812286"/>
      <w:bookmarkStart w:id="276" w:name="_Toc281998072"/>
      <w:bookmarkStart w:id="277" w:name="_Toc281479742"/>
      <w:bookmarkStart w:id="278" w:name="_Toc281484765"/>
      <w:bookmarkStart w:id="279" w:name="_Toc281552520"/>
      <w:bookmarkStart w:id="280" w:name="_Toc281553587"/>
      <w:bookmarkStart w:id="281" w:name="_Toc281812289"/>
      <w:bookmarkStart w:id="282" w:name="_Toc281998075"/>
      <w:bookmarkStart w:id="283" w:name="_Toc281479745"/>
      <w:bookmarkStart w:id="284" w:name="_Toc281484768"/>
      <w:bookmarkStart w:id="285" w:name="_Toc281552523"/>
      <w:bookmarkStart w:id="286" w:name="_Toc281553590"/>
      <w:bookmarkStart w:id="287" w:name="_Toc281812292"/>
      <w:bookmarkStart w:id="288" w:name="_Toc281998078"/>
      <w:bookmarkStart w:id="289" w:name="_Toc89762386"/>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9E39BD">
        <w:t>Kontrolní mechanismy</w:t>
      </w:r>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1"/>
        <w:gridCol w:w="1711"/>
        <w:gridCol w:w="2308"/>
      </w:tblGrid>
      <w:tr w:rsidR="00C02E8C" w:rsidRPr="009E39BD" w14:paraId="77673623" w14:textId="77777777" w:rsidTr="001C5DC4">
        <w:tc>
          <w:tcPr>
            <w:tcW w:w="2782" w:type="pct"/>
            <w:shd w:val="clear" w:color="auto" w:fill="E6E6E6"/>
            <w:vAlign w:val="center"/>
          </w:tcPr>
          <w:p w14:paraId="11C189E2" w14:textId="77777777" w:rsidR="00C02E8C" w:rsidRPr="009E39BD" w:rsidRDefault="00C02E8C" w:rsidP="001C5DC4">
            <w:pPr>
              <w:numPr>
                <w:ilvl w:val="0"/>
                <w:numId w:val="0"/>
              </w:numPr>
              <w:rPr>
                <w:b/>
              </w:rPr>
            </w:pPr>
            <w:r w:rsidRPr="009E39BD">
              <w:rPr>
                <w:b/>
              </w:rPr>
              <w:t>Popis kontroly</w:t>
            </w:r>
          </w:p>
        </w:tc>
        <w:tc>
          <w:tcPr>
            <w:tcW w:w="944" w:type="pct"/>
            <w:shd w:val="clear" w:color="auto" w:fill="E6E6E6"/>
            <w:vAlign w:val="center"/>
          </w:tcPr>
          <w:p w14:paraId="48D3547B" w14:textId="77777777" w:rsidR="00C02E8C" w:rsidRPr="009E39BD" w:rsidRDefault="00C02E8C" w:rsidP="001C5DC4">
            <w:pPr>
              <w:numPr>
                <w:ilvl w:val="0"/>
                <w:numId w:val="0"/>
              </w:numPr>
              <w:jc w:val="center"/>
              <w:rPr>
                <w:b/>
              </w:rPr>
            </w:pPr>
            <w:r w:rsidRPr="009E39BD">
              <w:rPr>
                <w:b/>
              </w:rPr>
              <w:t>Četnost</w:t>
            </w:r>
          </w:p>
        </w:tc>
        <w:tc>
          <w:tcPr>
            <w:tcW w:w="1274" w:type="pct"/>
            <w:shd w:val="clear" w:color="auto" w:fill="E6E6E6"/>
            <w:vAlign w:val="center"/>
          </w:tcPr>
          <w:p w14:paraId="6E5CC10E" w14:textId="77777777" w:rsidR="00C02E8C" w:rsidRPr="009E39BD" w:rsidRDefault="00C02E8C" w:rsidP="001C5DC4">
            <w:pPr>
              <w:numPr>
                <w:ilvl w:val="0"/>
                <w:numId w:val="0"/>
              </w:numPr>
              <w:jc w:val="center"/>
              <w:rPr>
                <w:b/>
              </w:rPr>
            </w:pPr>
            <w:r w:rsidRPr="009E39BD">
              <w:rPr>
                <w:b/>
              </w:rPr>
              <w:t>Odpovídá</w:t>
            </w:r>
          </w:p>
        </w:tc>
      </w:tr>
      <w:tr w:rsidR="00C02E8C" w:rsidRPr="009E39BD" w14:paraId="5D343158" w14:textId="77777777" w:rsidTr="001C5DC4">
        <w:tc>
          <w:tcPr>
            <w:tcW w:w="2782" w:type="pct"/>
          </w:tcPr>
          <w:p w14:paraId="4D94C6E3" w14:textId="77777777" w:rsidR="00C02E8C" w:rsidRPr="009E39BD" w:rsidRDefault="00C02E8C" w:rsidP="001C5DC4">
            <w:pPr>
              <w:numPr>
                <w:ilvl w:val="0"/>
                <w:numId w:val="0"/>
              </w:numPr>
              <w:jc w:val="left"/>
            </w:pPr>
            <w:r w:rsidRPr="009E39BD">
              <w:t xml:space="preserve">Kontrola dodržení všech schvalovacích kroků stanovených předpisem (včetně příslušných záznamů) </w:t>
            </w:r>
          </w:p>
          <w:p w14:paraId="5F9EDB23" w14:textId="77777777" w:rsidR="00C02E8C" w:rsidRPr="009E39BD" w:rsidRDefault="00C02E8C" w:rsidP="001C5DC4">
            <w:pPr>
              <w:numPr>
                <w:ilvl w:val="0"/>
                <w:numId w:val="0"/>
              </w:numPr>
              <w:jc w:val="left"/>
            </w:pPr>
            <w:r w:rsidRPr="009E39BD">
              <w:t>Výstup: Záznam do evidence připravovaných IN</w:t>
            </w:r>
            <w:r w:rsidRPr="0014336E">
              <w:t xml:space="preserve"> – excel „Produktové řízení“</w:t>
            </w:r>
          </w:p>
        </w:tc>
        <w:tc>
          <w:tcPr>
            <w:tcW w:w="944" w:type="pct"/>
          </w:tcPr>
          <w:p w14:paraId="6C49C466" w14:textId="77777777" w:rsidR="00C02E8C" w:rsidRPr="009E39BD" w:rsidRDefault="00C02E8C" w:rsidP="001C5DC4">
            <w:pPr>
              <w:numPr>
                <w:ilvl w:val="0"/>
                <w:numId w:val="0"/>
              </w:numPr>
              <w:jc w:val="left"/>
            </w:pPr>
            <w:r w:rsidRPr="009E39BD">
              <w:t>Vždy pro nový IN</w:t>
            </w:r>
          </w:p>
        </w:tc>
        <w:tc>
          <w:tcPr>
            <w:tcW w:w="1274" w:type="pct"/>
          </w:tcPr>
          <w:p w14:paraId="65007277" w14:textId="77777777" w:rsidR="00C02E8C" w:rsidRPr="009E39BD" w:rsidRDefault="00C02E8C" w:rsidP="001C5DC4">
            <w:pPr>
              <w:numPr>
                <w:ilvl w:val="0"/>
                <w:numId w:val="0"/>
              </w:numPr>
              <w:jc w:val="left"/>
            </w:pPr>
            <w:r w:rsidRPr="009E39BD">
              <w:t>Vedoucí ODIC</w:t>
            </w:r>
          </w:p>
        </w:tc>
      </w:tr>
      <w:tr w:rsidR="00C02E8C" w:rsidRPr="009E39BD" w14:paraId="26A9105B" w14:textId="77777777" w:rsidTr="001C5DC4">
        <w:trPr>
          <w:trHeight w:val="1134"/>
        </w:trPr>
        <w:tc>
          <w:tcPr>
            <w:tcW w:w="2782" w:type="pct"/>
          </w:tcPr>
          <w:p w14:paraId="3655EF4F" w14:textId="77777777" w:rsidR="00C02E8C" w:rsidRPr="009E39BD" w:rsidRDefault="00C02E8C" w:rsidP="001C5DC4">
            <w:pPr>
              <w:numPr>
                <w:ilvl w:val="0"/>
                <w:numId w:val="0"/>
              </w:numPr>
              <w:jc w:val="left"/>
            </w:pPr>
            <w:r w:rsidRPr="009E39BD">
              <w:t>Kontrola úplnosti a správnosti produktové složky</w:t>
            </w:r>
          </w:p>
          <w:p w14:paraId="19CA8A96" w14:textId="77777777" w:rsidR="00C02E8C" w:rsidRPr="009E39BD" w:rsidRDefault="00C02E8C" w:rsidP="001C5DC4">
            <w:pPr>
              <w:numPr>
                <w:ilvl w:val="0"/>
                <w:numId w:val="0"/>
              </w:numPr>
              <w:jc w:val="left"/>
            </w:pPr>
            <w:r w:rsidRPr="009E39BD">
              <w:t>Výstup: Záznam do evidence připravovaných IN</w:t>
            </w:r>
            <w:r w:rsidRPr="0014336E">
              <w:t xml:space="preserve"> – excel „Produktové řízení“</w:t>
            </w:r>
          </w:p>
        </w:tc>
        <w:tc>
          <w:tcPr>
            <w:tcW w:w="944" w:type="pct"/>
          </w:tcPr>
          <w:p w14:paraId="0A334AA7" w14:textId="77777777" w:rsidR="00C02E8C" w:rsidRPr="009E39BD" w:rsidRDefault="00C02E8C" w:rsidP="001C5DC4">
            <w:pPr>
              <w:numPr>
                <w:ilvl w:val="0"/>
                <w:numId w:val="0"/>
              </w:numPr>
              <w:jc w:val="left"/>
            </w:pPr>
            <w:r>
              <w:t>Zpětně čtvrtletně, v</w:t>
            </w:r>
            <w:r w:rsidRPr="009E39BD">
              <w:t>ždy pro nový IN</w:t>
            </w:r>
          </w:p>
        </w:tc>
        <w:tc>
          <w:tcPr>
            <w:tcW w:w="1274" w:type="pct"/>
          </w:tcPr>
          <w:p w14:paraId="6CC397F2" w14:textId="77777777" w:rsidR="00C02E8C" w:rsidRPr="009E39BD" w:rsidRDefault="00C02E8C" w:rsidP="001C5DC4">
            <w:pPr>
              <w:numPr>
                <w:ilvl w:val="0"/>
                <w:numId w:val="0"/>
              </w:numPr>
              <w:jc w:val="left"/>
            </w:pPr>
            <w:r w:rsidRPr="009E39BD">
              <w:t>Vedoucí ODIC</w:t>
            </w:r>
          </w:p>
        </w:tc>
      </w:tr>
      <w:tr w:rsidR="00C02E8C" w:rsidRPr="009E39BD" w14:paraId="6B7EACFA" w14:textId="77777777" w:rsidTr="001C5DC4">
        <w:trPr>
          <w:trHeight w:val="890"/>
        </w:trPr>
        <w:tc>
          <w:tcPr>
            <w:tcW w:w="2782" w:type="pct"/>
          </w:tcPr>
          <w:p w14:paraId="3EE54D33" w14:textId="77777777" w:rsidR="00C02E8C" w:rsidRPr="009E39BD" w:rsidRDefault="00C02E8C" w:rsidP="001C5DC4">
            <w:pPr>
              <w:numPr>
                <w:ilvl w:val="0"/>
                <w:numId w:val="0"/>
              </w:numPr>
              <w:jc w:val="left"/>
            </w:pPr>
            <w:r w:rsidRPr="009E39BD">
              <w:t xml:space="preserve">Kontrola procesu tvorby a existence dokumentace související s IN </w:t>
            </w:r>
          </w:p>
        </w:tc>
        <w:tc>
          <w:tcPr>
            <w:tcW w:w="944" w:type="pct"/>
          </w:tcPr>
          <w:p w14:paraId="7DCF64B5" w14:textId="77777777" w:rsidR="00C02E8C" w:rsidRPr="009E39BD" w:rsidRDefault="00C02E8C" w:rsidP="001C5DC4">
            <w:pPr>
              <w:numPr>
                <w:ilvl w:val="0"/>
                <w:numId w:val="0"/>
              </w:numPr>
              <w:jc w:val="left"/>
            </w:pPr>
            <w:r w:rsidRPr="009E39BD">
              <w:t>čtvrtletně</w:t>
            </w:r>
          </w:p>
        </w:tc>
        <w:tc>
          <w:tcPr>
            <w:tcW w:w="1274" w:type="pct"/>
          </w:tcPr>
          <w:p w14:paraId="18576306" w14:textId="77777777" w:rsidR="00C02E8C" w:rsidRPr="009E39BD" w:rsidRDefault="00C02E8C" w:rsidP="001C5DC4">
            <w:pPr>
              <w:numPr>
                <w:ilvl w:val="0"/>
                <w:numId w:val="0"/>
              </w:numPr>
              <w:jc w:val="left"/>
            </w:pPr>
            <w:r w:rsidRPr="009E39BD">
              <w:t>Ředitel OCA</w:t>
            </w:r>
          </w:p>
        </w:tc>
      </w:tr>
    </w:tbl>
    <w:p w14:paraId="75BEDDD1" w14:textId="77777777" w:rsidR="00C02E8C" w:rsidRPr="009E39BD" w:rsidRDefault="00C02E8C" w:rsidP="00C02E8C">
      <w:pPr>
        <w:pStyle w:val="Nadpis1"/>
      </w:pPr>
      <w:bookmarkStart w:id="290" w:name="_Toc167010885"/>
      <w:bookmarkStart w:id="291" w:name="_Toc167010886"/>
      <w:bookmarkStart w:id="292" w:name="_Toc89762387"/>
      <w:bookmarkEnd w:id="290"/>
      <w:bookmarkEnd w:id="291"/>
      <w:r w:rsidRPr="009E39BD">
        <w:t>Závěrečná ustanovení</w:t>
      </w:r>
      <w:bookmarkEnd w:id="90"/>
      <w:bookmarkEnd w:id="91"/>
      <w:bookmarkEnd w:id="92"/>
      <w:bookmarkEnd w:id="93"/>
      <w:bookmarkEnd w:id="94"/>
      <w:bookmarkEnd w:id="95"/>
      <w:bookmarkEnd w:id="292"/>
    </w:p>
    <w:p w14:paraId="36508374" w14:textId="77777777" w:rsidR="00C02E8C" w:rsidRPr="009E39BD" w:rsidRDefault="00C02E8C" w:rsidP="00C02E8C">
      <w:pPr>
        <w:pStyle w:val="Nadpis2"/>
      </w:pPr>
      <w:bookmarkStart w:id="293" w:name="_Toc89762388"/>
      <w:bookmarkStart w:id="294" w:name="_Toc63760787"/>
      <w:bookmarkStart w:id="295" w:name="_Toc90785452"/>
      <w:bookmarkStart w:id="296" w:name="_Toc435837111"/>
      <w:r w:rsidRPr="009E39BD">
        <w:t>Související právní předpisy</w:t>
      </w:r>
      <w:bookmarkEnd w:id="293"/>
    </w:p>
    <w:p w14:paraId="49CFBB9A" w14:textId="77777777" w:rsidR="00C02E8C" w:rsidRPr="009E39BD" w:rsidRDefault="00C02E8C" w:rsidP="00C02E8C">
      <w:pPr>
        <w:tabs>
          <w:tab w:val="num" w:pos="567"/>
        </w:tabs>
        <w:ind w:left="567"/>
      </w:pPr>
      <w:r w:rsidRPr="009E39BD">
        <w:t>Zákon č. 21/1992 Sb., o bankách</w:t>
      </w:r>
    </w:p>
    <w:p w14:paraId="415CE135" w14:textId="77777777" w:rsidR="00C02E8C" w:rsidRPr="009E39BD" w:rsidRDefault="00C02E8C" w:rsidP="00C02E8C">
      <w:pPr>
        <w:tabs>
          <w:tab w:val="num" w:pos="567"/>
        </w:tabs>
        <w:ind w:left="567"/>
      </w:pPr>
      <w:r w:rsidRPr="009E39BD">
        <w:t>Zákon č. 256/2004 Sb., o podnikání na kapitálovém trhu</w:t>
      </w:r>
    </w:p>
    <w:p w14:paraId="23387510" w14:textId="77777777" w:rsidR="00C02E8C" w:rsidRPr="009E39BD" w:rsidRDefault="00C02E8C" w:rsidP="00C02E8C">
      <w:pPr>
        <w:tabs>
          <w:tab w:val="num" w:pos="567"/>
        </w:tabs>
        <w:ind w:left="567"/>
      </w:pPr>
      <w:r w:rsidRPr="009E39BD">
        <w:t>Vyhláška ČNB č. 163/2014 Sb., o výkonu činnosti bank, spořitelních a úvěrních družstev a obchodníků s cennými papíry</w:t>
      </w:r>
    </w:p>
    <w:p w14:paraId="47EFB33D" w14:textId="77777777" w:rsidR="00C02E8C" w:rsidRPr="009E39BD" w:rsidRDefault="00C02E8C" w:rsidP="00C02E8C">
      <w:pPr>
        <w:tabs>
          <w:tab w:val="num" w:pos="567"/>
        </w:tabs>
        <w:ind w:left="567"/>
      </w:pPr>
      <w:r w:rsidRPr="009E39BD">
        <w:t>Vyhláška č. 308/2017 Sb., o podrobnější úpravě některých pravidel při poskytování investičních služeb</w:t>
      </w:r>
    </w:p>
    <w:p w14:paraId="51BC0F7D" w14:textId="77777777" w:rsidR="00C02E8C" w:rsidRPr="009E39BD" w:rsidRDefault="00C02E8C" w:rsidP="00C02E8C">
      <w:pPr>
        <w:tabs>
          <w:tab w:val="num" w:pos="567"/>
        </w:tabs>
        <w:ind w:left="567"/>
      </w:pPr>
      <w:r w:rsidRPr="009E39BD">
        <w:t>Zákon č. 253/2008 Sb., o některých opatřeních proti legalizaci výnosů z trestné činnosti a financování terorismu</w:t>
      </w:r>
    </w:p>
    <w:p w14:paraId="36AB1091" w14:textId="77777777" w:rsidR="00C02E8C" w:rsidRPr="009E39BD" w:rsidRDefault="00C02E8C" w:rsidP="00C02E8C">
      <w:pPr>
        <w:tabs>
          <w:tab w:val="num" w:pos="567"/>
        </w:tabs>
        <w:ind w:left="567"/>
        <w:rPr>
          <w:lang w:val="sk-SK"/>
        </w:rPr>
      </w:pPr>
      <w:r w:rsidRPr="009E39BD">
        <w:rPr>
          <w:lang w:val="sk-SK"/>
        </w:rPr>
        <w:t>Zákon č. 483/2001 Z.z., o bankách a o zmene a doplnení niektorých zákonov</w:t>
      </w:r>
    </w:p>
    <w:p w14:paraId="5BA76291" w14:textId="77777777" w:rsidR="00C02E8C" w:rsidRPr="009E39BD" w:rsidRDefault="00C02E8C" w:rsidP="00C02E8C">
      <w:pPr>
        <w:tabs>
          <w:tab w:val="num" w:pos="567"/>
        </w:tabs>
        <w:ind w:left="567"/>
        <w:rPr>
          <w:lang w:val="sk-SK"/>
        </w:rPr>
      </w:pPr>
      <w:r w:rsidRPr="009E39BD">
        <w:rPr>
          <w:lang w:val="sk-SK"/>
        </w:rPr>
        <w:t>Zákon č. 566/2001 Z. z. o cenných papieroch</w:t>
      </w:r>
    </w:p>
    <w:p w14:paraId="3F7D30FD" w14:textId="77777777" w:rsidR="00C02E8C" w:rsidRPr="005B5F2A" w:rsidRDefault="00C02E8C" w:rsidP="00C02E8C">
      <w:pPr>
        <w:tabs>
          <w:tab w:val="num" w:pos="567"/>
        </w:tabs>
        <w:ind w:left="567"/>
      </w:pPr>
      <w:r w:rsidRPr="009E39BD">
        <w:rPr>
          <w:lang w:val="sk-SK"/>
        </w:rPr>
        <w:t>Zákon č. 297/2008 Z.z., o ochrane pred legalizáciou príjmov z trestnej činnosti a o ochrane pred financovaním terorizmu a o zmene a doplnení niektorých zákonov</w:t>
      </w:r>
    </w:p>
    <w:p w14:paraId="40CD2B5C" w14:textId="77777777" w:rsidR="00C02E8C" w:rsidRPr="00BF4508" w:rsidRDefault="00C02E8C" w:rsidP="00C02E8C">
      <w:pPr>
        <w:tabs>
          <w:tab w:val="num" w:pos="567"/>
        </w:tabs>
        <w:ind w:left="567"/>
        <w:rPr>
          <w:highlight w:val="yellow"/>
        </w:rPr>
      </w:pPr>
      <w:r w:rsidRPr="00BF4508">
        <w:rPr>
          <w:highlight w:val="yellow"/>
          <w:lang w:val="sk-SK"/>
        </w:rPr>
        <w:t xml:space="preserve">Stanovisko odboru dohľadu nad kapitálovým trhom Národnej banky Slovenska zo dňa 28. 4. 2021 </w:t>
      </w:r>
    </w:p>
    <w:p w14:paraId="1A052CE9" w14:textId="77777777" w:rsidR="00C02E8C" w:rsidRPr="009E39BD" w:rsidRDefault="00C02E8C" w:rsidP="00C02E8C">
      <w:pPr>
        <w:numPr>
          <w:ilvl w:val="0"/>
          <w:numId w:val="0"/>
        </w:numPr>
        <w:tabs>
          <w:tab w:val="num" w:pos="709"/>
        </w:tabs>
        <w:ind w:left="567"/>
      </w:pPr>
      <w:r w:rsidRPr="009E39BD">
        <w:rPr>
          <w:i/>
          <w:szCs w:val="18"/>
        </w:rPr>
        <w:t>Pozn.: Výčet uvedený v této kapitole má pouze informativní charakter a odpovídá stavu k datu účinnosti tohoto vnitřního předpisu.</w:t>
      </w:r>
    </w:p>
    <w:p w14:paraId="53989ADE" w14:textId="77777777" w:rsidR="00C02E8C" w:rsidRPr="009E39BD" w:rsidRDefault="00C02E8C" w:rsidP="00C02E8C">
      <w:pPr>
        <w:pStyle w:val="Nadpis2"/>
      </w:pPr>
      <w:bookmarkStart w:id="297" w:name="_Toc89762389"/>
      <w:r w:rsidRPr="009E39BD">
        <w:lastRenderedPageBreak/>
        <w:t xml:space="preserve">Související vnitřní </w:t>
      </w:r>
      <w:bookmarkEnd w:id="294"/>
      <w:bookmarkEnd w:id="295"/>
      <w:r w:rsidRPr="009E39BD">
        <w:t>předpisy a metodiky</w:t>
      </w:r>
      <w:bookmarkEnd w:id="297"/>
    </w:p>
    <w:p w14:paraId="207A27A4" w14:textId="77777777" w:rsidR="00C02E8C" w:rsidRPr="0014336E" w:rsidRDefault="00C02E8C" w:rsidP="00C02E8C">
      <w:pPr>
        <w:tabs>
          <w:tab w:val="clear" w:pos="709"/>
          <w:tab w:val="num" w:pos="567"/>
          <w:tab w:val="num" w:pos="1135"/>
        </w:tabs>
        <w:ind w:left="567"/>
      </w:pPr>
      <w:r w:rsidRPr="0014336E">
        <w:t>31/2008 Zásady poskytování investičních služeb</w:t>
      </w:r>
    </w:p>
    <w:p w14:paraId="094F9520" w14:textId="77777777" w:rsidR="00C02E8C" w:rsidRPr="009E39BD" w:rsidRDefault="00C02E8C" w:rsidP="00C02E8C">
      <w:pPr>
        <w:tabs>
          <w:tab w:val="num" w:pos="567"/>
        </w:tabs>
        <w:ind w:left="567"/>
      </w:pPr>
      <w:r w:rsidRPr="009E39BD">
        <w:t>1/2014 Spolupráce s fondovými distributory</w:t>
      </w:r>
    </w:p>
    <w:p w14:paraId="4D18983C" w14:textId="77777777" w:rsidR="00C02E8C" w:rsidRPr="0014336E" w:rsidRDefault="00C02E8C" w:rsidP="00C02E8C">
      <w:pPr>
        <w:tabs>
          <w:tab w:val="clear" w:pos="709"/>
          <w:tab w:val="num" w:pos="567"/>
          <w:tab w:val="num" w:pos="1135"/>
          <w:tab w:val="num" w:pos="2269"/>
        </w:tabs>
        <w:ind w:left="567"/>
        <w:rPr>
          <w:u w:val="single"/>
        </w:rPr>
      </w:pPr>
      <w:r w:rsidRPr="0014336E">
        <w:t>7/2014 Oceňování a správa finančních instrumentů.</w:t>
      </w:r>
    </w:p>
    <w:p w14:paraId="439504B2" w14:textId="77777777" w:rsidR="00C02E8C" w:rsidRPr="0014336E" w:rsidRDefault="00C02E8C" w:rsidP="00C02E8C">
      <w:pPr>
        <w:tabs>
          <w:tab w:val="clear" w:pos="709"/>
          <w:tab w:val="num" w:pos="567"/>
          <w:tab w:val="num" w:pos="1135"/>
          <w:tab w:val="num" w:pos="2269"/>
        </w:tabs>
        <w:ind w:left="567"/>
        <w:rPr>
          <w:u w:val="single"/>
        </w:rPr>
      </w:pPr>
      <w:r w:rsidRPr="0014336E">
        <w:t>1/2012 Správa smluvního vztahu s klientem pro obchodování na kapitálových trzích - ČR</w:t>
      </w:r>
    </w:p>
    <w:p w14:paraId="46E204C5" w14:textId="77777777" w:rsidR="00C02E8C" w:rsidRPr="0014336E" w:rsidRDefault="00C02E8C" w:rsidP="00C02E8C">
      <w:pPr>
        <w:tabs>
          <w:tab w:val="clear" w:pos="709"/>
          <w:tab w:val="num" w:pos="567"/>
          <w:tab w:val="num" w:pos="1135"/>
        </w:tabs>
        <w:ind w:left="567"/>
      </w:pPr>
      <w:r w:rsidRPr="0014336E">
        <w:t>2/2013 Spolupráce s finančními institucemi</w:t>
      </w:r>
    </w:p>
    <w:p w14:paraId="67DDC6D1" w14:textId="77777777" w:rsidR="00C02E8C" w:rsidRPr="009E39BD" w:rsidRDefault="00C02E8C" w:rsidP="00C02E8C">
      <w:pPr>
        <w:tabs>
          <w:tab w:val="num" w:pos="567"/>
        </w:tabs>
        <w:ind w:left="567"/>
      </w:pPr>
      <w:r w:rsidRPr="009E39BD">
        <w:t>4/2011 Upisování nebo umisťování emisí investičních nástrojů</w:t>
      </w:r>
    </w:p>
    <w:p w14:paraId="4221242E" w14:textId="77777777" w:rsidR="00C02E8C" w:rsidRPr="009E39BD" w:rsidRDefault="00C02E8C" w:rsidP="00C02E8C">
      <w:pPr>
        <w:tabs>
          <w:tab w:val="num" w:pos="567"/>
        </w:tabs>
        <w:ind w:left="567"/>
      </w:pPr>
      <w:r w:rsidRPr="009E39BD">
        <w:t>2/2009 Směnkové programy</w:t>
      </w:r>
    </w:p>
    <w:p w14:paraId="0C75D3E7" w14:textId="77777777" w:rsidR="00C02E8C" w:rsidRPr="009E39BD" w:rsidRDefault="00C02E8C" w:rsidP="00C02E8C">
      <w:pPr>
        <w:tabs>
          <w:tab w:val="num" w:pos="567"/>
        </w:tabs>
        <w:ind w:left="567"/>
      </w:pPr>
      <w:r w:rsidRPr="009E39BD">
        <w:t>SJTF_12/2018 Změnové řízení informačních systémů a technologií</w:t>
      </w:r>
    </w:p>
    <w:p w14:paraId="1F4EFA92" w14:textId="77777777" w:rsidR="00C02E8C" w:rsidRPr="009E39BD" w:rsidRDefault="00C02E8C" w:rsidP="00C02E8C">
      <w:pPr>
        <w:tabs>
          <w:tab w:val="num" w:pos="567"/>
        </w:tabs>
        <w:ind w:left="567"/>
      </w:pPr>
      <w:r w:rsidRPr="009E39BD">
        <w:t>Metodika třídění cenných papírů</w:t>
      </w:r>
    </w:p>
    <w:p w14:paraId="33EF689D" w14:textId="77777777" w:rsidR="00C02E8C" w:rsidRPr="009E39BD" w:rsidRDefault="00C02E8C" w:rsidP="00C02E8C">
      <w:pPr>
        <w:tabs>
          <w:tab w:val="num" w:pos="567"/>
        </w:tabs>
        <w:ind w:left="567"/>
      </w:pPr>
      <w:r w:rsidRPr="009E39BD">
        <w:t>Jednotlivé Produktové listy </w:t>
      </w:r>
    </w:p>
    <w:p w14:paraId="028D2402" w14:textId="77777777" w:rsidR="00C02E8C" w:rsidRPr="009E39BD" w:rsidRDefault="00C02E8C" w:rsidP="00C02E8C">
      <w:pPr>
        <w:tabs>
          <w:tab w:val="num" w:pos="567"/>
        </w:tabs>
        <w:ind w:left="567"/>
      </w:pPr>
      <w:r w:rsidRPr="009E39BD">
        <w:rPr>
          <w:i/>
          <w:szCs w:val="18"/>
        </w:rPr>
        <w:t>Pozn.: Výčet uvedený v této kapitole má pouze informativní charakter a odpovídá stavu k datu účinnosti tohoto vnitřního předpisu.</w:t>
      </w:r>
    </w:p>
    <w:p w14:paraId="7BAB1373" w14:textId="77777777" w:rsidR="00C02E8C" w:rsidRPr="009E39BD" w:rsidRDefault="00C02E8C" w:rsidP="00C02E8C">
      <w:pPr>
        <w:pStyle w:val="Nadpis2"/>
      </w:pPr>
      <w:bookmarkStart w:id="298" w:name="_Toc63760788"/>
      <w:bookmarkStart w:id="299" w:name="_Toc90785454"/>
      <w:bookmarkStart w:id="300" w:name="_Toc89762390"/>
      <w:r w:rsidRPr="009E39BD">
        <w:t xml:space="preserve">Zrušené vnitřní </w:t>
      </w:r>
      <w:bookmarkEnd w:id="298"/>
      <w:bookmarkEnd w:id="299"/>
      <w:r w:rsidRPr="009E39BD">
        <w:t>předpisy</w:t>
      </w:r>
      <w:bookmarkEnd w:id="300"/>
    </w:p>
    <w:p w14:paraId="6D1621DB" w14:textId="77777777" w:rsidR="00C02E8C" w:rsidRPr="009E39BD" w:rsidRDefault="00C02E8C" w:rsidP="00C02E8C">
      <w:pPr>
        <w:tabs>
          <w:tab w:val="num" w:pos="567"/>
        </w:tabs>
        <w:ind w:left="567"/>
      </w:pPr>
      <w:r w:rsidRPr="009E39BD">
        <w:t>JTB_2019/005 V</w:t>
      </w:r>
      <w:r>
        <w:t>3</w:t>
      </w:r>
      <w:r w:rsidRPr="009E39BD">
        <w:t xml:space="preserve"> Návrh, vývoj a správa investičních produktů v J&amp;T BANCE</w:t>
      </w:r>
    </w:p>
    <w:p w14:paraId="051DC1E1" w14:textId="77777777" w:rsidR="00C02E8C" w:rsidRPr="009E39BD" w:rsidRDefault="00C02E8C" w:rsidP="00C02E8C">
      <w:pPr>
        <w:pStyle w:val="Nadpis2"/>
      </w:pPr>
      <w:bookmarkStart w:id="301" w:name="_Toc281998089"/>
      <w:bookmarkStart w:id="302" w:name="_Toc133320755"/>
      <w:bookmarkStart w:id="303" w:name="_Toc89762391"/>
      <w:bookmarkStart w:id="304" w:name="_Toc435837113"/>
      <w:bookmarkStart w:id="305" w:name="_Toc63760789"/>
      <w:bookmarkStart w:id="306" w:name="_Toc90785456"/>
      <w:bookmarkEnd w:id="296"/>
      <w:bookmarkEnd w:id="301"/>
      <w:r w:rsidRPr="009E39BD">
        <w:t>Provedené změny</w:t>
      </w:r>
      <w:bookmarkEnd w:id="302"/>
      <w:bookmarkEnd w:id="303"/>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1620"/>
        <w:gridCol w:w="2340"/>
      </w:tblGrid>
      <w:tr w:rsidR="00C02E8C" w:rsidRPr="009E39BD" w14:paraId="5CF62DA2" w14:textId="77777777" w:rsidTr="001C5DC4">
        <w:trPr>
          <w:trHeight w:val="164"/>
          <w:tblHeader/>
        </w:trPr>
        <w:tc>
          <w:tcPr>
            <w:tcW w:w="5290" w:type="dxa"/>
            <w:shd w:val="clear" w:color="auto" w:fill="D9D9D9"/>
            <w:vAlign w:val="center"/>
          </w:tcPr>
          <w:p w14:paraId="61A376D4" w14:textId="77777777" w:rsidR="00C02E8C" w:rsidRPr="009E39BD" w:rsidRDefault="00C02E8C" w:rsidP="001C5DC4">
            <w:pPr>
              <w:pStyle w:val="Tabulka"/>
              <w:jc w:val="center"/>
              <w:rPr>
                <w:b/>
              </w:rPr>
            </w:pPr>
            <w:bookmarkStart w:id="307" w:name="_Toc281484775"/>
            <w:bookmarkStart w:id="308" w:name="_Toc281552535"/>
            <w:bookmarkStart w:id="309" w:name="_Toc281553602"/>
            <w:bookmarkStart w:id="310" w:name="_Toc281812304"/>
            <w:bookmarkStart w:id="311" w:name="_Toc281998091"/>
            <w:bookmarkStart w:id="312" w:name="_Toc281484779"/>
            <w:bookmarkStart w:id="313" w:name="_Toc281552539"/>
            <w:bookmarkStart w:id="314" w:name="_Toc281553606"/>
            <w:bookmarkStart w:id="315" w:name="_Toc281812308"/>
            <w:bookmarkStart w:id="316" w:name="_Toc281998095"/>
            <w:bookmarkEnd w:id="307"/>
            <w:bookmarkEnd w:id="308"/>
            <w:bookmarkEnd w:id="309"/>
            <w:bookmarkEnd w:id="310"/>
            <w:bookmarkEnd w:id="311"/>
            <w:bookmarkEnd w:id="312"/>
            <w:bookmarkEnd w:id="313"/>
            <w:bookmarkEnd w:id="314"/>
            <w:bookmarkEnd w:id="315"/>
            <w:bookmarkEnd w:id="316"/>
            <w:r w:rsidRPr="009E39BD">
              <w:rPr>
                <w:b/>
              </w:rPr>
              <w:t>Popis změny</w:t>
            </w:r>
          </w:p>
        </w:tc>
        <w:tc>
          <w:tcPr>
            <w:tcW w:w="1620" w:type="dxa"/>
            <w:shd w:val="clear" w:color="auto" w:fill="D9D9D9"/>
            <w:vAlign w:val="center"/>
          </w:tcPr>
          <w:p w14:paraId="571295A8" w14:textId="77777777" w:rsidR="00C02E8C" w:rsidRPr="009E39BD" w:rsidRDefault="00C02E8C" w:rsidP="001C5DC4">
            <w:pPr>
              <w:pStyle w:val="Tabulka"/>
              <w:jc w:val="center"/>
              <w:rPr>
                <w:b/>
              </w:rPr>
            </w:pPr>
            <w:r w:rsidRPr="009E39BD">
              <w:rPr>
                <w:b/>
              </w:rPr>
              <w:t>Kapitola</w:t>
            </w:r>
          </w:p>
        </w:tc>
        <w:tc>
          <w:tcPr>
            <w:tcW w:w="2340" w:type="dxa"/>
            <w:shd w:val="clear" w:color="auto" w:fill="D9D9D9"/>
            <w:vAlign w:val="center"/>
          </w:tcPr>
          <w:p w14:paraId="7F04246C" w14:textId="77777777" w:rsidR="00C02E8C" w:rsidRPr="009E39BD" w:rsidRDefault="00C02E8C" w:rsidP="001C5DC4">
            <w:pPr>
              <w:pStyle w:val="Tabulka"/>
              <w:jc w:val="center"/>
              <w:rPr>
                <w:b/>
              </w:rPr>
            </w:pPr>
            <w:r w:rsidRPr="009E39BD">
              <w:rPr>
                <w:b/>
              </w:rPr>
              <w:t>Důvod změny</w:t>
            </w:r>
          </w:p>
        </w:tc>
      </w:tr>
      <w:tr w:rsidR="00C02E8C" w:rsidRPr="0014336E" w14:paraId="37B45C80" w14:textId="77777777" w:rsidTr="001C5DC4">
        <w:trPr>
          <w:trHeight w:val="228"/>
        </w:trPr>
        <w:tc>
          <w:tcPr>
            <w:tcW w:w="5290" w:type="dxa"/>
          </w:tcPr>
          <w:p w14:paraId="6B4176FE" w14:textId="77777777" w:rsidR="00C02E8C" w:rsidRPr="0014336E" w:rsidRDefault="00C02E8C" w:rsidP="001C5DC4">
            <w:pPr>
              <w:pStyle w:val="Tabulka"/>
            </w:pPr>
            <w:r>
              <w:t>Doplnění definice Podnikový dluhopis s vysokým rizikovým profilem a s tím souvisejících procesních opatření</w:t>
            </w:r>
          </w:p>
        </w:tc>
        <w:tc>
          <w:tcPr>
            <w:tcW w:w="1620" w:type="dxa"/>
          </w:tcPr>
          <w:p w14:paraId="497ED1A1" w14:textId="77777777" w:rsidR="00C02E8C" w:rsidRPr="0014336E" w:rsidRDefault="00C02E8C" w:rsidP="001C5DC4">
            <w:pPr>
              <w:pStyle w:val="Tabulka"/>
            </w:pPr>
            <w:r w:rsidRPr="0014336E">
              <w:t>Kapitol</w:t>
            </w:r>
            <w:r>
              <w:t>y</w:t>
            </w:r>
            <w:r w:rsidRPr="0014336E">
              <w:t xml:space="preserve"> 1.6</w:t>
            </w:r>
            <w:r>
              <w:t>, 2.4.2, 2.4.3, 3.1</w:t>
            </w:r>
          </w:p>
        </w:tc>
        <w:tc>
          <w:tcPr>
            <w:tcW w:w="2340" w:type="dxa"/>
          </w:tcPr>
          <w:p w14:paraId="213CE1EF" w14:textId="77777777" w:rsidR="00C02E8C" w:rsidRPr="0014336E" w:rsidRDefault="00C02E8C" w:rsidP="001C5DC4">
            <w:pPr>
              <w:pStyle w:val="Tabulka"/>
            </w:pPr>
            <w:r>
              <w:t xml:space="preserve">Implementace </w:t>
            </w:r>
            <w:r w:rsidRPr="005B5F2A">
              <w:rPr>
                <w:lang w:val="sk-SK"/>
              </w:rPr>
              <w:t>Stanoviska odboru dohľadu nad kapitálovým trhom NBS zo dňa 28. 4. 2021</w:t>
            </w:r>
            <w:r w:rsidRPr="0014336E">
              <w:t xml:space="preserve"> </w:t>
            </w:r>
          </w:p>
        </w:tc>
      </w:tr>
      <w:tr w:rsidR="00C02E8C" w:rsidRPr="0014336E" w14:paraId="0EF4FC83" w14:textId="77777777" w:rsidTr="001C5DC4">
        <w:trPr>
          <w:trHeight w:val="228"/>
        </w:trPr>
        <w:tc>
          <w:tcPr>
            <w:tcW w:w="5290" w:type="dxa"/>
          </w:tcPr>
          <w:p w14:paraId="1D4D69B4" w14:textId="77777777" w:rsidR="00C02E8C" w:rsidRDefault="00C02E8C" w:rsidP="001C5DC4">
            <w:pPr>
              <w:pStyle w:val="Tabulka"/>
            </w:pPr>
            <w:r>
              <w:t xml:space="preserve">Doplnění pravidel pro archivaci dokumentace </w:t>
            </w:r>
          </w:p>
        </w:tc>
        <w:tc>
          <w:tcPr>
            <w:tcW w:w="1620" w:type="dxa"/>
          </w:tcPr>
          <w:p w14:paraId="3DDCD1A4" w14:textId="77777777" w:rsidR="00C02E8C" w:rsidRDefault="00C02E8C" w:rsidP="001C5DC4">
            <w:pPr>
              <w:pStyle w:val="Tabulka"/>
            </w:pPr>
            <w:r>
              <w:t>Kap. 2.2, 2.3</w:t>
            </w:r>
          </w:p>
        </w:tc>
        <w:tc>
          <w:tcPr>
            <w:tcW w:w="2340" w:type="dxa"/>
          </w:tcPr>
          <w:p w14:paraId="5B6363B5" w14:textId="77777777" w:rsidR="00C02E8C" w:rsidRDefault="00C02E8C" w:rsidP="001C5DC4">
            <w:pPr>
              <w:pStyle w:val="Tabulka"/>
            </w:pPr>
            <w:r>
              <w:t>Doplnění pravidel</w:t>
            </w:r>
          </w:p>
        </w:tc>
      </w:tr>
      <w:tr w:rsidR="00C02E8C" w:rsidRPr="0014336E" w14:paraId="1FFFA677" w14:textId="77777777" w:rsidTr="001C5DC4">
        <w:trPr>
          <w:trHeight w:val="228"/>
        </w:trPr>
        <w:tc>
          <w:tcPr>
            <w:tcW w:w="5290" w:type="dxa"/>
          </w:tcPr>
          <w:p w14:paraId="6787D453" w14:textId="77777777" w:rsidR="00C02E8C" w:rsidRPr="0014336E" w:rsidRDefault="00C02E8C" w:rsidP="001C5DC4">
            <w:pPr>
              <w:pStyle w:val="Tabulka"/>
            </w:pPr>
            <w:r>
              <w:t>Aktualizace přílohy Metodika tvorby cílového trhu</w:t>
            </w:r>
          </w:p>
        </w:tc>
        <w:tc>
          <w:tcPr>
            <w:tcW w:w="1620" w:type="dxa"/>
          </w:tcPr>
          <w:p w14:paraId="60E970D5" w14:textId="77777777" w:rsidR="00C02E8C" w:rsidRPr="0014336E" w:rsidRDefault="00C02E8C" w:rsidP="001C5DC4">
            <w:pPr>
              <w:pStyle w:val="Tabulka"/>
            </w:pPr>
            <w:r>
              <w:t>Příloha č. 1</w:t>
            </w:r>
          </w:p>
        </w:tc>
        <w:tc>
          <w:tcPr>
            <w:tcW w:w="2340" w:type="dxa"/>
          </w:tcPr>
          <w:p w14:paraId="769A7ECE" w14:textId="77777777" w:rsidR="00C02E8C" w:rsidRPr="0014336E" w:rsidRDefault="00C02E8C" w:rsidP="001C5DC4">
            <w:pPr>
              <w:pStyle w:val="Tabulka"/>
            </w:pPr>
            <w:r>
              <w:t xml:space="preserve">Implementace </w:t>
            </w:r>
            <w:r w:rsidRPr="005B5F2A">
              <w:rPr>
                <w:lang w:val="sk-SK"/>
              </w:rPr>
              <w:t>Stanoviska odboru dohľadu nad kapitálovým trhom NBS zo dňa 28. 4.</w:t>
            </w:r>
            <w:r>
              <w:rPr>
                <w:lang w:val="sk-SK"/>
              </w:rPr>
              <w:t xml:space="preserve"> </w:t>
            </w:r>
            <w:r w:rsidRPr="005B5F2A">
              <w:rPr>
                <w:lang w:val="sk-SK"/>
              </w:rPr>
              <w:t>2021</w:t>
            </w:r>
            <w:r>
              <w:t xml:space="preserve"> a zvýšení obezřetnosti ve vztahu k podřízeným dluhopisům a stanovení cílového trhu v případě akcií v režimu nabízení</w:t>
            </w:r>
          </w:p>
        </w:tc>
      </w:tr>
      <w:tr w:rsidR="00C02E8C" w:rsidRPr="0014336E" w14:paraId="3639AE47" w14:textId="77777777" w:rsidTr="001C5DC4">
        <w:trPr>
          <w:trHeight w:val="228"/>
        </w:trPr>
        <w:tc>
          <w:tcPr>
            <w:tcW w:w="5290" w:type="dxa"/>
          </w:tcPr>
          <w:p w14:paraId="2DA1E000" w14:textId="77777777" w:rsidR="00C02E8C" w:rsidRPr="0014336E" w:rsidRDefault="00C02E8C" w:rsidP="001C5DC4">
            <w:pPr>
              <w:pStyle w:val="Tabulka"/>
            </w:pPr>
            <w:r>
              <w:t>Doplnění rozsahu Informací nutných pro realizaci distribuce IN ke klientovi o specifickou situaci nabízení již emitovaných akcií</w:t>
            </w:r>
          </w:p>
        </w:tc>
        <w:tc>
          <w:tcPr>
            <w:tcW w:w="1620" w:type="dxa"/>
          </w:tcPr>
          <w:p w14:paraId="361B1F64" w14:textId="77777777" w:rsidR="00C02E8C" w:rsidRPr="0014336E" w:rsidRDefault="00C02E8C" w:rsidP="001C5DC4">
            <w:pPr>
              <w:pStyle w:val="Tabulka"/>
            </w:pPr>
            <w:r>
              <w:t>Kapitola 1.6</w:t>
            </w:r>
          </w:p>
        </w:tc>
        <w:tc>
          <w:tcPr>
            <w:tcW w:w="2340" w:type="dxa"/>
          </w:tcPr>
          <w:p w14:paraId="49900C6E" w14:textId="77777777" w:rsidR="00C02E8C" w:rsidRPr="0014336E" w:rsidRDefault="00C02E8C" w:rsidP="001C5DC4">
            <w:pPr>
              <w:pStyle w:val="Tabulka"/>
            </w:pPr>
            <w:r>
              <w:t>Obchodní důvody</w:t>
            </w:r>
          </w:p>
        </w:tc>
      </w:tr>
    </w:tbl>
    <w:p w14:paraId="5DDFBD39" w14:textId="77777777" w:rsidR="00C02E8C" w:rsidRPr="009E39BD" w:rsidRDefault="00C02E8C" w:rsidP="00C02E8C">
      <w:pPr>
        <w:pStyle w:val="Nadpis2"/>
      </w:pPr>
      <w:bookmarkStart w:id="317" w:name="_Toc89762392"/>
      <w:r w:rsidRPr="009E39BD">
        <w:t>Přílohy</w:t>
      </w:r>
      <w:bookmarkEnd w:id="304"/>
      <w:bookmarkEnd w:id="305"/>
      <w:bookmarkEnd w:id="306"/>
      <w:bookmarkEnd w:id="317"/>
    </w:p>
    <w:p w14:paraId="6B6B0EF8" w14:textId="77777777" w:rsidR="00C02E8C" w:rsidRPr="009E39BD" w:rsidRDefault="00C02E8C" w:rsidP="00C02E8C">
      <w:pPr>
        <w:tabs>
          <w:tab w:val="num" w:pos="567"/>
        </w:tabs>
        <w:ind w:left="567"/>
      </w:pPr>
      <w:r w:rsidRPr="009E39BD">
        <w:t>Metodika tvorby cílového trhu</w:t>
      </w:r>
    </w:p>
    <w:p w14:paraId="052A2314" w14:textId="77777777" w:rsidR="00C02E8C" w:rsidRPr="009E39BD" w:rsidRDefault="00C02E8C" w:rsidP="00C02E8C">
      <w:pPr>
        <w:tabs>
          <w:tab w:val="num" w:pos="567"/>
        </w:tabs>
        <w:ind w:left="567"/>
      </w:pPr>
      <w:r w:rsidRPr="009E39BD">
        <w:t xml:space="preserve">Metodika na zařazení PRIIPs produktů do kategorií </w:t>
      </w:r>
    </w:p>
    <w:p w14:paraId="3C9067CB" w14:textId="77777777" w:rsidR="00C02E8C" w:rsidRPr="009E39BD" w:rsidRDefault="00C02E8C" w:rsidP="00C02E8C">
      <w:pPr>
        <w:tabs>
          <w:tab w:val="num" w:pos="567"/>
        </w:tabs>
        <w:ind w:left="567"/>
      </w:pPr>
      <w:r w:rsidRPr="009E39BD">
        <w:t>Formulář Návrh na implementaci investičního nástroje</w:t>
      </w:r>
    </w:p>
    <w:p w14:paraId="411610A7" w14:textId="756F745A" w:rsidR="006353C7" w:rsidRPr="00C02E8C" w:rsidRDefault="00C02E8C" w:rsidP="00C02E8C">
      <w:pPr>
        <w:tabs>
          <w:tab w:val="num" w:pos="567"/>
        </w:tabs>
        <w:ind w:left="567"/>
      </w:pPr>
      <w:r w:rsidRPr="009E39BD">
        <w:t xml:space="preserve">Formulář Schválení </w:t>
      </w:r>
      <w:r>
        <w:t xml:space="preserve">distribuce </w:t>
      </w:r>
      <w:r w:rsidRPr="009E39BD">
        <w:t>investičního nástroje</w:t>
      </w:r>
    </w:p>
    <w:sectPr w:rsidR="006353C7" w:rsidRPr="00C02E8C" w:rsidSect="009544F8">
      <w:headerReference w:type="even" r:id="rId18"/>
      <w:headerReference w:type="default" r:id="rId19"/>
      <w:footerReference w:type="default" r:id="rId20"/>
      <w:footerReference w:type="first" r:id="rId2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BBDDD" w14:textId="77777777" w:rsidR="00962F74" w:rsidRDefault="00962F74">
      <w:r>
        <w:separator/>
      </w:r>
    </w:p>
  </w:endnote>
  <w:endnote w:type="continuationSeparator" w:id="0">
    <w:p w14:paraId="5B01FE5C" w14:textId="77777777" w:rsidR="00962F74" w:rsidRDefault="0096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EB639" w14:textId="77777777" w:rsidR="00E05122" w:rsidRDefault="00E0512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06"/>
      <w:gridCol w:w="2678"/>
      <w:gridCol w:w="2539"/>
      <w:gridCol w:w="2537"/>
    </w:tblGrid>
    <w:tr w:rsidR="00C02E8C" w14:paraId="10CC4E27" w14:textId="77777777">
      <w:tc>
        <w:tcPr>
          <w:tcW w:w="721" w:type="pct"/>
        </w:tcPr>
        <w:p w14:paraId="36DBEA8C" w14:textId="77777777" w:rsidR="00C02E8C" w:rsidRDefault="00C02E8C" w:rsidP="00610098">
          <w:pPr>
            <w:pStyle w:val="Hlavika"/>
          </w:pPr>
        </w:p>
      </w:tc>
      <w:tc>
        <w:tcPr>
          <w:tcW w:w="1478" w:type="pct"/>
        </w:tcPr>
        <w:p w14:paraId="2DC1D414" w14:textId="77777777" w:rsidR="00C02E8C" w:rsidRDefault="00C02E8C" w:rsidP="00610098">
          <w:pPr>
            <w:pStyle w:val="Hlavika"/>
          </w:pPr>
          <w:r>
            <w:t>Zpracoval:</w:t>
          </w:r>
        </w:p>
      </w:tc>
      <w:tc>
        <w:tcPr>
          <w:tcW w:w="1401" w:type="pct"/>
        </w:tcPr>
        <w:p w14:paraId="7FF1C739" w14:textId="77777777" w:rsidR="00C02E8C" w:rsidRDefault="00C02E8C" w:rsidP="00610098">
          <w:pPr>
            <w:pStyle w:val="Hlavika"/>
          </w:pPr>
          <w:r>
            <w:t>Uvolnil:</w:t>
          </w:r>
        </w:p>
      </w:tc>
      <w:tc>
        <w:tcPr>
          <w:tcW w:w="1400" w:type="pct"/>
        </w:tcPr>
        <w:p w14:paraId="7974CC3E" w14:textId="77777777" w:rsidR="00C02E8C" w:rsidRDefault="00C02E8C" w:rsidP="00610098">
          <w:pPr>
            <w:pStyle w:val="Hlavika"/>
          </w:pPr>
          <w:r>
            <w:t>Schválil:</w:t>
          </w:r>
        </w:p>
      </w:tc>
    </w:tr>
    <w:tr w:rsidR="00C02E8C" w14:paraId="16F653EB" w14:textId="77777777">
      <w:tc>
        <w:tcPr>
          <w:tcW w:w="721" w:type="pct"/>
        </w:tcPr>
        <w:p w14:paraId="08DEE9BD" w14:textId="77777777" w:rsidR="00C02E8C" w:rsidRDefault="00C02E8C" w:rsidP="00610098">
          <w:pPr>
            <w:pStyle w:val="Hlavika"/>
          </w:pPr>
          <w:r>
            <w:t>Jméno</w:t>
          </w:r>
        </w:p>
        <w:p w14:paraId="6AB9BAA5" w14:textId="77777777" w:rsidR="00C02E8C" w:rsidRDefault="00C02E8C" w:rsidP="00610098">
          <w:pPr>
            <w:pStyle w:val="Hlavika"/>
          </w:pPr>
          <w:r>
            <w:t>Datum</w:t>
          </w:r>
        </w:p>
        <w:p w14:paraId="723A349D" w14:textId="77777777" w:rsidR="00C02E8C" w:rsidRDefault="00C02E8C" w:rsidP="00610098">
          <w:pPr>
            <w:pStyle w:val="Hlavika"/>
          </w:pPr>
          <w:r>
            <w:t>Podpis</w:t>
          </w:r>
        </w:p>
      </w:tc>
      <w:tc>
        <w:tcPr>
          <w:tcW w:w="1478" w:type="pct"/>
        </w:tcPr>
        <w:p w14:paraId="3E0161B9" w14:textId="77777777" w:rsidR="00C02E8C" w:rsidRDefault="00C02E8C" w:rsidP="00610098">
          <w:pPr>
            <w:pStyle w:val="Hlavika"/>
          </w:pPr>
          <w:r>
            <w:t>M. Havlůjová</w:t>
          </w:r>
        </w:p>
        <w:p w14:paraId="560EC541" w14:textId="77777777" w:rsidR="00C02E8C" w:rsidRDefault="00C02E8C" w:rsidP="00E30C4B">
          <w:pPr>
            <w:pStyle w:val="Hlavika"/>
          </w:pPr>
        </w:p>
      </w:tc>
      <w:tc>
        <w:tcPr>
          <w:tcW w:w="1401" w:type="pct"/>
        </w:tcPr>
        <w:p w14:paraId="0FB240A8" w14:textId="77777777" w:rsidR="00C02E8C" w:rsidRDefault="00C02E8C" w:rsidP="007E3C87">
          <w:pPr>
            <w:pStyle w:val="Hlavika"/>
          </w:pPr>
          <w:r>
            <w:t>M. Vaníček, ředitel OSFT</w:t>
          </w:r>
        </w:p>
        <w:p w14:paraId="4467320A" w14:textId="77777777" w:rsidR="00C02E8C" w:rsidRDefault="00C02E8C" w:rsidP="007E3C87">
          <w:pPr>
            <w:pStyle w:val="Hlavika"/>
          </w:pPr>
        </w:p>
        <w:p w14:paraId="45F78EA3" w14:textId="77777777" w:rsidR="00C02E8C" w:rsidRDefault="00C02E8C" w:rsidP="007E3C87">
          <w:pPr>
            <w:pStyle w:val="Hlavika"/>
          </w:pPr>
          <w:r>
            <w:t>K. Dalecká, vedoucí ODIC</w:t>
          </w:r>
        </w:p>
        <w:p w14:paraId="4527D75C" w14:textId="77777777" w:rsidR="00C02E8C" w:rsidRDefault="00C02E8C" w:rsidP="007E3C87">
          <w:pPr>
            <w:pStyle w:val="Hlavika"/>
          </w:pPr>
        </w:p>
        <w:p w14:paraId="247DBD97" w14:textId="77777777" w:rsidR="00C02E8C" w:rsidRDefault="00C02E8C" w:rsidP="007E3C87">
          <w:pPr>
            <w:pStyle w:val="Hlavika"/>
          </w:pPr>
          <w:r>
            <w:t>V. Macálka, ředitel OCA</w:t>
          </w:r>
        </w:p>
        <w:p w14:paraId="06DF032E" w14:textId="77777777" w:rsidR="00C02E8C" w:rsidRDefault="00C02E8C" w:rsidP="007E3C87">
          <w:pPr>
            <w:pStyle w:val="Hlavika"/>
          </w:pPr>
        </w:p>
        <w:p w14:paraId="3489AD77" w14:textId="77777777" w:rsidR="00C02E8C" w:rsidRDefault="00C02E8C" w:rsidP="007E3C87">
          <w:pPr>
            <w:pStyle w:val="Hlavika"/>
          </w:pPr>
          <w:r>
            <w:t>A. Křenková, ředitelka OVA</w:t>
          </w:r>
        </w:p>
        <w:p w14:paraId="20D07916" w14:textId="77777777" w:rsidR="00C02E8C" w:rsidRDefault="00C02E8C" w:rsidP="007E3C87">
          <w:pPr>
            <w:pStyle w:val="Hlavika"/>
          </w:pPr>
        </w:p>
        <w:p w14:paraId="78C20613" w14:textId="77777777" w:rsidR="00C02E8C" w:rsidRDefault="00C02E8C" w:rsidP="007E3C87">
          <w:pPr>
            <w:pStyle w:val="Hlavika"/>
          </w:pPr>
          <w:r>
            <w:t>L. Tomeš, ředitel OPP</w:t>
          </w:r>
        </w:p>
        <w:p w14:paraId="466FF2E0" w14:textId="77777777" w:rsidR="00C02E8C" w:rsidRDefault="00C02E8C" w:rsidP="007E3C87">
          <w:pPr>
            <w:pStyle w:val="Hlavika"/>
          </w:pPr>
        </w:p>
        <w:p w14:paraId="4FC54B79" w14:textId="77777777" w:rsidR="00C02E8C" w:rsidRDefault="00C02E8C" w:rsidP="00997183">
          <w:pPr>
            <w:pStyle w:val="Hlavika"/>
          </w:pPr>
          <w:r>
            <w:t>J. Indrová, DPO ČR</w:t>
          </w:r>
        </w:p>
        <w:p w14:paraId="5EED4177" w14:textId="77777777" w:rsidR="00C02E8C" w:rsidRDefault="00C02E8C" w:rsidP="00997183">
          <w:pPr>
            <w:pStyle w:val="Hlavika"/>
          </w:pPr>
        </w:p>
        <w:p w14:paraId="4EF54A45" w14:textId="77777777" w:rsidR="00C02E8C" w:rsidRDefault="00C02E8C" w:rsidP="00997183">
          <w:pPr>
            <w:pStyle w:val="Hlavika"/>
          </w:pPr>
          <w:r>
            <w:t>V. Hrušková, DPO SR</w:t>
          </w:r>
        </w:p>
        <w:p w14:paraId="332F2351" w14:textId="77777777" w:rsidR="00C02E8C" w:rsidRDefault="00C02E8C" w:rsidP="007E3C87">
          <w:pPr>
            <w:pStyle w:val="Hlavika"/>
          </w:pPr>
        </w:p>
      </w:tc>
      <w:tc>
        <w:tcPr>
          <w:tcW w:w="1400" w:type="pct"/>
        </w:tcPr>
        <w:p w14:paraId="326AA3A2" w14:textId="77777777" w:rsidR="00C02E8C" w:rsidRDefault="00C02E8C" w:rsidP="00610098">
          <w:pPr>
            <w:pStyle w:val="Hlavika"/>
          </w:pPr>
          <w:r>
            <w:t>Výkonný výbor ČR</w:t>
          </w:r>
        </w:p>
        <w:p w14:paraId="6CEE0082" w14:textId="77777777" w:rsidR="00E05122" w:rsidRPr="00E510E9" w:rsidRDefault="00E05122" w:rsidP="00E05122">
          <w:pPr>
            <w:pStyle w:val="Hlavika"/>
            <w:rPr>
              <w:i/>
              <w:iCs/>
            </w:rPr>
          </w:pPr>
          <w:r w:rsidRPr="00E510E9">
            <w:rPr>
              <w:i/>
              <w:iCs/>
            </w:rPr>
            <w:t>Schváleno per rollam dne 13.12.2021</w:t>
          </w:r>
        </w:p>
        <w:p w14:paraId="0196669A" w14:textId="77777777" w:rsidR="00E05122" w:rsidRDefault="00E05122" w:rsidP="00E05122">
          <w:pPr>
            <w:pStyle w:val="Hlavika"/>
          </w:pPr>
          <w:r>
            <w:t>Výkonný výbor SR</w:t>
          </w:r>
        </w:p>
        <w:p w14:paraId="645E7689" w14:textId="01EAE0AA" w:rsidR="00C02E8C" w:rsidRDefault="00E05122" w:rsidP="00E05122">
          <w:pPr>
            <w:pStyle w:val="Hlavika"/>
          </w:pPr>
          <w:r w:rsidRPr="00E510E9">
            <w:rPr>
              <w:i/>
              <w:iCs/>
            </w:rPr>
            <w:t>Schváleno na zasedání dne 9.12.2021</w:t>
          </w:r>
        </w:p>
      </w:tc>
    </w:tr>
  </w:tbl>
  <w:p w14:paraId="02FE124D" w14:textId="77777777" w:rsidR="00C02E8C" w:rsidRPr="00C01228" w:rsidRDefault="00C02E8C" w:rsidP="00610098">
    <w:pPr>
      <w:pStyle w:val="Hlavika"/>
      <w:jc w:val="center"/>
    </w:pPr>
    <w:r w:rsidRPr="00C01228">
      <w:t>Určeno pouze pro interní potřebu J&amp;T!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90"/>
      <w:gridCol w:w="1980"/>
      <w:gridCol w:w="1620"/>
      <w:gridCol w:w="1750"/>
      <w:gridCol w:w="1535"/>
      <w:gridCol w:w="1535"/>
    </w:tblGrid>
    <w:tr w:rsidR="00C02E8C" w14:paraId="4BCFB892" w14:textId="77777777">
      <w:tc>
        <w:tcPr>
          <w:tcW w:w="790" w:type="dxa"/>
        </w:tcPr>
        <w:p w14:paraId="75C6B45E" w14:textId="77777777" w:rsidR="00C02E8C" w:rsidRPr="00611DB1" w:rsidRDefault="00C02E8C">
          <w:pPr>
            <w:pStyle w:val="Zpat"/>
            <w:jc w:val="center"/>
            <w:rPr>
              <w:rFonts w:cs="Arial"/>
              <w:szCs w:val="22"/>
            </w:rPr>
          </w:pPr>
        </w:p>
      </w:tc>
      <w:tc>
        <w:tcPr>
          <w:tcW w:w="1980" w:type="dxa"/>
        </w:tcPr>
        <w:p w14:paraId="630264C5" w14:textId="77777777" w:rsidR="00C02E8C" w:rsidRPr="00611DB1" w:rsidRDefault="00C02E8C">
          <w:pPr>
            <w:pStyle w:val="Zpat"/>
            <w:rPr>
              <w:rFonts w:cs="Arial"/>
              <w:szCs w:val="22"/>
            </w:rPr>
          </w:pPr>
          <w:r w:rsidRPr="00611DB1">
            <w:rPr>
              <w:rFonts w:cs="Arial"/>
              <w:szCs w:val="22"/>
            </w:rPr>
            <w:t>Vymyslel:</w:t>
          </w:r>
        </w:p>
      </w:tc>
      <w:tc>
        <w:tcPr>
          <w:tcW w:w="1620" w:type="dxa"/>
        </w:tcPr>
        <w:p w14:paraId="6DE0C5AF" w14:textId="77777777" w:rsidR="00C02E8C" w:rsidRPr="00611DB1" w:rsidRDefault="00C02E8C">
          <w:pPr>
            <w:pStyle w:val="Zpat"/>
            <w:rPr>
              <w:rFonts w:cs="Arial"/>
              <w:szCs w:val="22"/>
            </w:rPr>
          </w:pPr>
          <w:r w:rsidRPr="00611DB1">
            <w:rPr>
              <w:rFonts w:cs="Arial"/>
              <w:szCs w:val="22"/>
            </w:rPr>
            <w:t>Vypracoval:</w:t>
          </w:r>
        </w:p>
      </w:tc>
      <w:tc>
        <w:tcPr>
          <w:tcW w:w="1750" w:type="dxa"/>
        </w:tcPr>
        <w:p w14:paraId="630CCEE5" w14:textId="77777777" w:rsidR="00C02E8C" w:rsidRPr="00611DB1" w:rsidRDefault="00C02E8C">
          <w:pPr>
            <w:pStyle w:val="Zpat"/>
            <w:rPr>
              <w:rFonts w:cs="Arial"/>
              <w:szCs w:val="22"/>
            </w:rPr>
          </w:pPr>
          <w:r w:rsidRPr="00611DB1">
            <w:rPr>
              <w:rFonts w:cs="Arial"/>
              <w:szCs w:val="22"/>
            </w:rPr>
            <w:t>Navrhl:</w:t>
          </w:r>
        </w:p>
      </w:tc>
      <w:tc>
        <w:tcPr>
          <w:tcW w:w="1535" w:type="dxa"/>
        </w:tcPr>
        <w:p w14:paraId="7D6A1F00" w14:textId="77777777" w:rsidR="00C02E8C" w:rsidRPr="00611DB1" w:rsidRDefault="00C02E8C">
          <w:pPr>
            <w:pStyle w:val="Zpat"/>
            <w:rPr>
              <w:rFonts w:cs="Arial"/>
              <w:szCs w:val="22"/>
            </w:rPr>
          </w:pPr>
          <w:r w:rsidRPr="00611DB1">
            <w:rPr>
              <w:rFonts w:cs="Arial"/>
              <w:szCs w:val="22"/>
            </w:rPr>
            <w:t>Uvolnil:</w:t>
          </w:r>
        </w:p>
      </w:tc>
      <w:tc>
        <w:tcPr>
          <w:tcW w:w="1535" w:type="dxa"/>
        </w:tcPr>
        <w:p w14:paraId="6B342DD8" w14:textId="77777777" w:rsidR="00C02E8C" w:rsidRPr="00611DB1" w:rsidRDefault="00C02E8C">
          <w:pPr>
            <w:pStyle w:val="Zpat"/>
            <w:rPr>
              <w:rFonts w:cs="Arial"/>
              <w:szCs w:val="22"/>
            </w:rPr>
          </w:pPr>
          <w:r w:rsidRPr="00611DB1">
            <w:rPr>
              <w:rFonts w:cs="Arial"/>
              <w:szCs w:val="22"/>
            </w:rPr>
            <w:t>Schválil:</w:t>
          </w:r>
        </w:p>
      </w:tc>
    </w:tr>
    <w:tr w:rsidR="00C02E8C" w14:paraId="35D11F79" w14:textId="77777777">
      <w:tc>
        <w:tcPr>
          <w:tcW w:w="790" w:type="dxa"/>
        </w:tcPr>
        <w:p w14:paraId="7AE891AD" w14:textId="77777777" w:rsidR="00C02E8C" w:rsidRPr="00611DB1" w:rsidRDefault="00C02E8C">
          <w:pPr>
            <w:pStyle w:val="Zpat"/>
            <w:rPr>
              <w:rFonts w:cs="Arial"/>
              <w:szCs w:val="22"/>
            </w:rPr>
          </w:pPr>
          <w:r w:rsidRPr="00611DB1">
            <w:rPr>
              <w:rFonts w:cs="Arial"/>
              <w:szCs w:val="22"/>
            </w:rPr>
            <w:t>Jméno</w:t>
          </w:r>
        </w:p>
        <w:p w14:paraId="4729957B" w14:textId="77777777" w:rsidR="00C02E8C" w:rsidRPr="00611DB1" w:rsidRDefault="00C02E8C">
          <w:pPr>
            <w:pStyle w:val="Zpat"/>
            <w:rPr>
              <w:rFonts w:cs="Arial"/>
              <w:szCs w:val="22"/>
            </w:rPr>
          </w:pPr>
          <w:r w:rsidRPr="00611DB1">
            <w:rPr>
              <w:rFonts w:cs="Arial"/>
              <w:szCs w:val="22"/>
            </w:rPr>
            <w:t>Datum</w:t>
          </w:r>
        </w:p>
        <w:p w14:paraId="21585E6F" w14:textId="77777777" w:rsidR="00C02E8C" w:rsidRPr="00611DB1" w:rsidRDefault="00C02E8C">
          <w:pPr>
            <w:pStyle w:val="Zpat"/>
            <w:rPr>
              <w:rFonts w:cs="Arial"/>
              <w:szCs w:val="22"/>
            </w:rPr>
          </w:pPr>
          <w:r w:rsidRPr="00611DB1">
            <w:rPr>
              <w:rFonts w:cs="Arial"/>
              <w:szCs w:val="22"/>
            </w:rPr>
            <w:t>Podpis</w:t>
          </w:r>
        </w:p>
      </w:tc>
      <w:tc>
        <w:tcPr>
          <w:tcW w:w="1980" w:type="dxa"/>
        </w:tcPr>
        <w:p w14:paraId="562B9E7E" w14:textId="77777777" w:rsidR="00C02E8C" w:rsidRPr="00611DB1" w:rsidRDefault="00C02E8C">
          <w:pPr>
            <w:pStyle w:val="Zpat"/>
            <w:rPr>
              <w:rFonts w:cs="Arial"/>
              <w:szCs w:val="22"/>
            </w:rPr>
          </w:pPr>
        </w:p>
      </w:tc>
      <w:tc>
        <w:tcPr>
          <w:tcW w:w="1620" w:type="dxa"/>
        </w:tcPr>
        <w:p w14:paraId="626C1D44" w14:textId="77777777" w:rsidR="00C02E8C" w:rsidRPr="00611DB1" w:rsidRDefault="00C02E8C">
          <w:pPr>
            <w:pStyle w:val="Zpat"/>
            <w:rPr>
              <w:rFonts w:cs="Arial"/>
              <w:szCs w:val="22"/>
            </w:rPr>
          </w:pPr>
        </w:p>
      </w:tc>
      <w:tc>
        <w:tcPr>
          <w:tcW w:w="1750" w:type="dxa"/>
        </w:tcPr>
        <w:p w14:paraId="68AB9D35" w14:textId="77777777" w:rsidR="00C02E8C" w:rsidRPr="00611DB1" w:rsidRDefault="00C02E8C">
          <w:pPr>
            <w:pStyle w:val="Zpat"/>
            <w:rPr>
              <w:rFonts w:cs="Arial"/>
              <w:szCs w:val="22"/>
            </w:rPr>
          </w:pPr>
        </w:p>
      </w:tc>
      <w:tc>
        <w:tcPr>
          <w:tcW w:w="1535" w:type="dxa"/>
        </w:tcPr>
        <w:p w14:paraId="1ABADC7D" w14:textId="77777777" w:rsidR="00C02E8C" w:rsidRPr="00611DB1" w:rsidRDefault="00C02E8C">
          <w:pPr>
            <w:pStyle w:val="Zpat"/>
            <w:rPr>
              <w:rFonts w:cs="Arial"/>
              <w:szCs w:val="22"/>
            </w:rPr>
          </w:pPr>
        </w:p>
      </w:tc>
      <w:tc>
        <w:tcPr>
          <w:tcW w:w="1535" w:type="dxa"/>
        </w:tcPr>
        <w:p w14:paraId="0DA95FE9" w14:textId="77777777" w:rsidR="00C02E8C" w:rsidRPr="00611DB1" w:rsidRDefault="00C02E8C">
          <w:pPr>
            <w:pStyle w:val="Zpat"/>
            <w:rPr>
              <w:rFonts w:cs="Arial"/>
              <w:szCs w:val="22"/>
            </w:rPr>
          </w:pPr>
        </w:p>
      </w:tc>
    </w:tr>
  </w:tbl>
  <w:p w14:paraId="32B136C8" w14:textId="77777777" w:rsidR="00C02E8C" w:rsidRDefault="00C02E8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4D508" w14:textId="0F691AC7" w:rsidR="00333A25" w:rsidRPr="008D5C4C" w:rsidRDefault="00333A25" w:rsidP="00425725">
    <w:pPr>
      <w:pStyle w:val="Hlavika"/>
      <w:pBdr>
        <w:top w:val="single" w:sz="4" w:space="1" w:color="auto"/>
      </w:pBdr>
      <w:jc w:val="center"/>
    </w:pPr>
    <w:r w:rsidRPr="00C01228">
      <w:t xml:space="preserve">Strana </w:t>
    </w:r>
    <w:r>
      <w:fldChar w:fldCharType="begin"/>
    </w:r>
    <w:r>
      <w:instrText xml:space="preserve"> PAGE </w:instrText>
    </w:r>
    <w:r>
      <w:fldChar w:fldCharType="separate"/>
    </w:r>
    <w:r w:rsidR="00140325">
      <w:rPr>
        <w:noProof/>
      </w:rPr>
      <w:t>14</w:t>
    </w:r>
    <w:r>
      <w:rPr>
        <w:noProof/>
      </w:rPr>
      <w:fldChar w:fldCharType="end"/>
    </w:r>
    <w:r w:rsidRPr="00C01228">
      <w:t>/</w:t>
    </w:r>
    <w:r>
      <w:rPr>
        <w:noProof/>
      </w:rPr>
      <w:fldChar w:fldCharType="begin"/>
    </w:r>
    <w:r>
      <w:rPr>
        <w:noProof/>
      </w:rPr>
      <w:instrText xml:space="preserve"> NUMPAGES </w:instrText>
    </w:r>
    <w:r>
      <w:rPr>
        <w:noProof/>
      </w:rPr>
      <w:fldChar w:fldCharType="separate"/>
    </w:r>
    <w:r w:rsidR="00140325">
      <w:rPr>
        <w:noProof/>
      </w:rPr>
      <w:t>14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9306" w14:textId="77777777" w:rsidR="00333A25" w:rsidRDefault="00333A2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E1CAB" w14:textId="77777777" w:rsidR="00962F74" w:rsidRDefault="00962F74">
      <w:r>
        <w:separator/>
      </w:r>
    </w:p>
  </w:footnote>
  <w:footnote w:type="continuationSeparator" w:id="0">
    <w:p w14:paraId="327765EF" w14:textId="77777777" w:rsidR="00962F74" w:rsidRDefault="00962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0EA30" w14:textId="77777777" w:rsidR="00E05122" w:rsidRDefault="00E0512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4"/>
      <w:gridCol w:w="3319"/>
      <w:gridCol w:w="1335"/>
      <w:gridCol w:w="1982"/>
    </w:tblGrid>
    <w:tr w:rsidR="00C02E8C" w:rsidRPr="00D46608" w14:paraId="29B43E2D" w14:textId="77777777" w:rsidTr="00D46608">
      <w:trPr>
        <w:trHeight w:val="589"/>
      </w:trPr>
      <w:tc>
        <w:tcPr>
          <w:tcW w:w="1337" w:type="pct"/>
          <w:vMerge w:val="restart"/>
        </w:tcPr>
        <w:p w14:paraId="3F769656" w14:textId="77777777" w:rsidR="00C02E8C" w:rsidRPr="00D46608" w:rsidRDefault="00C02E8C" w:rsidP="00610098">
          <w:pPr>
            <w:pStyle w:val="Hlavika"/>
            <w:rPr>
              <w:szCs w:val="18"/>
            </w:rPr>
          </w:pPr>
          <w:r w:rsidRPr="00236016">
            <w:object w:dxaOrig="3810" w:dyaOrig="1725" w14:anchorId="68E41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47.75pt">
                <v:imagedata r:id="rId1" o:title=""/>
              </v:shape>
              <o:OLEObject Type="Embed" ProgID="MSPhotoEd.3" ShapeID="_x0000_i1025" DrawAspect="Content" ObjectID="_1700921092" r:id="rId2"/>
            </w:object>
          </w:r>
        </w:p>
      </w:tc>
      <w:tc>
        <w:tcPr>
          <w:tcW w:w="2568" w:type="pct"/>
          <w:gridSpan w:val="2"/>
          <w:vMerge w:val="restart"/>
        </w:tcPr>
        <w:p w14:paraId="437237C9" w14:textId="77777777" w:rsidR="00C02E8C" w:rsidRPr="00D46608" w:rsidRDefault="00C02E8C" w:rsidP="0070777F">
          <w:pPr>
            <w:pStyle w:val="Hlavika"/>
            <w:jc w:val="center"/>
            <w:rPr>
              <w:sz w:val="24"/>
            </w:rPr>
          </w:pPr>
          <w:r w:rsidRPr="00D46608">
            <w:rPr>
              <w:b/>
              <w:sz w:val="24"/>
            </w:rPr>
            <w:t xml:space="preserve">Návrh, vývoj a správa </w:t>
          </w:r>
          <w:r>
            <w:rPr>
              <w:b/>
              <w:sz w:val="24"/>
            </w:rPr>
            <w:t xml:space="preserve">investičních </w:t>
          </w:r>
          <w:r w:rsidRPr="00D46608">
            <w:rPr>
              <w:b/>
              <w:sz w:val="24"/>
            </w:rPr>
            <w:t>produktů v J&amp;T</w:t>
          </w:r>
          <w:r>
            <w:rPr>
              <w:b/>
              <w:sz w:val="24"/>
            </w:rPr>
            <w:t> </w:t>
          </w:r>
          <w:r w:rsidRPr="00D46608">
            <w:rPr>
              <w:b/>
              <w:sz w:val="24"/>
            </w:rPr>
            <w:t>BANCE</w:t>
          </w:r>
        </w:p>
      </w:tc>
      <w:tc>
        <w:tcPr>
          <w:tcW w:w="1094" w:type="pct"/>
        </w:tcPr>
        <w:p w14:paraId="0FD2EBFF" w14:textId="77777777" w:rsidR="00C02E8C" w:rsidRPr="00D46608" w:rsidRDefault="00C02E8C" w:rsidP="008156D1">
          <w:pPr>
            <w:pStyle w:val="Hlavika"/>
            <w:rPr>
              <w:szCs w:val="20"/>
            </w:rPr>
          </w:pPr>
          <w:r w:rsidRPr="00D46608">
            <w:rPr>
              <w:b/>
              <w:szCs w:val="20"/>
            </w:rPr>
            <w:t xml:space="preserve">Číslo: </w:t>
          </w:r>
          <w:r>
            <w:rPr>
              <w:b/>
              <w:szCs w:val="20"/>
            </w:rPr>
            <w:t>JTB_2019/005</w:t>
          </w:r>
        </w:p>
      </w:tc>
    </w:tr>
    <w:tr w:rsidR="00C02E8C" w:rsidRPr="00D46608" w14:paraId="5853ED81" w14:textId="77777777" w:rsidTr="00D46608">
      <w:trPr>
        <w:trHeight w:val="588"/>
      </w:trPr>
      <w:tc>
        <w:tcPr>
          <w:tcW w:w="1337" w:type="pct"/>
          <w:vMerge/>
        </w:tcPr>
        <w:p w14:paraId="02C20218" w14:textId="77777777" w:rsidR="00C02E8C" w:rsidRDefault="00C02E8C" w:rsidP="00610098">
          <w:pPr>
            <w:pStyle w:val="Hlavika"/>
          </w:pPr>
        </w:p>
      </w:tc>
      <w:tc>
        <w:tcPr>
          <w:tcW w:w="2568" w:type="pct"/>
          <w:gridSpan w:val="2"/>
          <w:vMerge/>
        </w:tcPr>
        <w:p w14:paraId="67D6F99B" w14:textId="77777777" w:rsidR="00C02E8C" w:rsidRPr="00D46608" w:rsidRDefault="00C02E8C" w:rsidP="00610098">
          <w:pPr>
            <w:pStyle w:val="Hlavika"/>
            <w:rPr>
              <w:szCs w:val="18"/>
            </w:rPr>
          </w:pPr>
        </w:p>
      </w:tc>
      <w:tc>
        <w:tcPr>
          <w:tcW w:w="1094" w:type="pct"/>
        </w:tcPr>
        <w:p w14:paraId="3D329391" w14:textId="77777777" w:rsidR="00C02E8C" w:rsidRPr="00D46608" w:rsidRDefault="00C02E8C" w:rsidP="00E95112">
          <w:pPr>
            <w:pStyle w:val="Hlavika"/>
            <w:rPr>
              <w:szCs w:val="20"/>
            </w:rPr>
          </w:pPr>
          <w:r>
            <w:rPr>
              <w:b/>
              <w:szCs w:val="20"/>
            </w:rPr>
            <w:t>Verze: 4</w:t>
          </w:r>
        </w:p>
      </w:tc>
    </w:tr>
    <w:tr w:rsidR="00C02E8C" w:rsidRPr="00D46608" w14:paraId="14FE3A9E" w14:textId="77777777" w:rsidTr="00D46608">
      <w:tc>
        <w:tcPr>
          <w:tcW w:w="1337" w:type="pct"/>
        </w:tcPr>
        <w:p w14:paraId="26CB40D0" w14:textId="77777777" w:rsidR="00C02E8C" w:rsidRPr="00D46608" w:rsidRDefault="00C02E8C" w:rsidP="00610098">
          <w:pPr>
            <w:pStyle w:val="Hlavika"/>
            <w:rPr>
              <w:b/>
              <w:szCs w:val="18"/>
              <w:shd w:val="clear" w:color="000080" w:fill="FFFFFF"/>
            </w:rPr>
          </w:pPr>
          <w:r w:rsidRPr="00D46608">
            <w:rPr>
              <w:b/>
              <w:szCs w:val="18"/>
              <w:shd w:val="clear" w:color="000080" w:fill="FFFFFF"/>
            </w:rPr>
            <w:t>Týká se:</w:t>
          </w:r>
        </w:p>
        <w:p w14:paraId="5E8221F5" w14:textId="77777777" w:rsidR="00C02E8C" w:rsidRPr="00D46608" w:rsidRDefault="00C02E8C" w:rsidP="00E95112">
          <w:pPr>
            <w:pStyle w:val="Hlavika"/>
            <w:rPr>
              <w:szCs w:val="18"/>
            </w:rPr>
          </w:pPr>
          <w:r w:rsidRPr="00D46608">
            <w:rPr>
              <w:szCs w:val="18"/>
            </w:rPr>
            <w:t>J&amp;T BANKA, a.</w:t>
          </w:r>
          <w:r>
            <w:rPr>
              <w:szCs w:val="18"/>
            </w:rPr>
            <w:t xml:space="preserve"> </w:t>
          </w:r>
          <w:r w:rsidRPr="00D46608">
            <w:rPr>
              <w:szCs w:val="18"/>
            </w:rPr>
            <w:t>s.</w:t>
          </w:r>
        </w:p>
      </w:tc>
      <w:tc>
        <w:tcPr>
          <w:tcW w:w="1831" w:type="pct"/>
        </w:tcPr>
        <w:p w14:paraId="415DAF43" w14:textId="77777777" w:rsidR="00C02E8C" w:rsidRPr="00D46608" w:rsidRDefault="00C02E8C" w:rsidP="00610098">
          <w:pPr>
            <w:pStyle w:val="Hlavika"/>
            <w:rPr>
              <w:b/>
              <w:szCs w:val="18"/>
              <w:shd w:val="clear" w:color="000080" w:fill="FFFFFF"/>
            </w:rPr>
          </w:pPr>
          <w:r w:rsidRPr="00D46608">
            <w:rPr>
              <w:b/>
              <w:szCs w:val="18"/>
              <w:shd w:val="clear" w:color="000080" w:fill="FFFFFF"/>
            </w:rPr>
            <w:t>Účinnost od:</w:t>
          </w:r>
        </w:p>
        <w:p w14:paraId="42196F76" w14:textId="26E3AD41" w:rsidR="00C02E8C" w:rsidRPr="00D46608" w:rsidRDefault="00E05122" w:rsidP="00610098">
          <w:pPr>
            <w:pStyle w:val="Hlavika"/>
            <w:rPr>
              <w:szCs w:val="18"/>
            </w:rPr>
          </w:pPr>
          <w:r>
            <w:rPr>
              <w:szCs w:val="18"/>
            </w:rPr>
            <w:t>14.12.2021</w:t>
          </w:r>
        </w:p>
      </w:tc>
      <w:tc>
        <w:tcPr>
          <w:tcW w:w="1831" w:type="pct"/>
          <w:gridSpan w:val="2"/>
        </w:tcPr>
        <w:p w14:paraId="64D5DEB4" w14:textId="77777777" w:rsidR="00C02E8C" w:rsidRPr="00D46608" w:rsidRDefault="00C02E8C" w:rsidP="00610098">
          <w:pPr>
            <w:pStyle w:val="Hlavika"/>
            <w:rPr>
              <w:b/>
              <w:szCs w:val="18"/>
              <w:shd w:val="clear" w:color="000080" w:fill="FFFFFF"/>
            </w:rPr>
          </w:pPr>
          <w:r w:rsidRPr="00D46608">
            <w:rPr>
              <w:b/>
              <w:szCs w:val="18"/>
              <w:shd w:val="clear" w:color="000080" w:fill="FFFFFF"/>
            </w:rPr>
            <w:t>Účinnost do:</w:t>
          </w:r>
        </w:p>
        <w:p w14:paraId="7BCD7B40" w14:textId="77777777" w:rsidR="00C02E8C" w:rsidRPr="00D46608" w:rsidRDefault="00C02E8C" w:rsidP="00610098">
          <w:pPr>
            <w:pStyle w:val="Hlavika"/>
            <w:rPr>
              <w:szCs w:val="18"/>
            </w:rPr>
          </w:pPr>
        </w:p>
      </w:tc>
    </w:tr>
  </w:tbl>
  <w:p w14:paraId="781B7651" w14:textId="77777777" w:rsidR="00C02E8C" w:rsidRDefault="00C02E8C" w:rsidP="00610098">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829D2" w14:textId="77777777" w:rsidR="00E05122" w:rsidRDefault="00E05122">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C2A54" w14:textId="77777777" w:rsidR="00333A25" w:rsidRDefault="00333A2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48553" w14:textId="77777777" w:rsidR="00333A25" w:rsidRDefault="00333A25" w:rsidP="0061009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61658"/>
    <w:multiLevelType w:val="hybridMultilevel"/>
    <w:tmpl w:val="EC0C2DC0"/>
    <w:lvl w:ilvl="0" w:tplc="EAC89162">
      <w:start w:val="1"/>
      <w:numFmt w:val="decimal"/>
      <w:lvlText w:val="%1."/>
      <w:lvlJc w:val="left"/>
      <w:pPr>
        <w:ind w:left="1284" w:hanging="360"/>
      </w:pPr>
      <w:rPr>
        <w:rFonts w:cs="Times New Roman" w:hint="default"/>
      </w:rPr>
    </w:lvl>
    <w:lvl w:ilvl="1" w:tplc="05D05560">
      <w:start w:val="1"/>
      <w:numFmt w:val="decimal"/>
      <w:lvlText w:val="%2."/>
      <w:lvlJc w:val="left"/>
      <w:pPr>
        <w:ind w:left="2004" w:hanging="360"/>
      </w:pPr>
      <w:rPr>
        <w:rFonts w:cs="Times New Roman" w:hint="default"/>
      </w:rPr>
    </w:lvl>
    <w:lvl w:ilvl="2" w:tplc="04050005" w:tentative="1">
      <w:start w:val="1"/>
      <w:numFmt w:val="bullet"/>
      <w:lvlText w:val=""/>
      <w:lvlJc w:val="left"/>
      <w:pPr>
        <w:ind w:left="2724" w:hanging="360"/>
      </w:pPr>
      <w:rPr>
        <w:rFonts w:ascii="Wingdings" w:hAnsi="Wingdings" w:hint="default"/>
      </w:rPr>
    </w:lvl>
    <w:lvl w:ilvl="3" w:tplc="04050001" w:tentative="1">
      <w:start w:val="1"/>
      <w:numFmt w:val="bullet"/>
      <w:lvlText w:val=""/>
      <w:lvlJc w:val="left"/>
      <w:pPr>
        <w:ind w:left="3444" w:hanging="360"/>
      </w:pPr>
      <w:rPr>
        <w:rFonts w:ascii="Symbol" w:hAnsi="Symbol" w:hint="default"/>
      </w:rPr>
    </w:lvl>
    <w:lvl w:ilvl="4" w:tplc="04050003" w:tentative="1">
      <w:start w:val="1"/>
      <w:numFmt w:val="bullet"/>
      <w:lvlText w:val="o"/>
      <w:lvlJc w:val="left"/>
      <w:pPr>
        <w:ind w:left="4164" w:hanging="360"/>
      </w:pPr>
      <w:rPr>
        <w:rFonts w:ascii="Courier New" w:hAnsi="Courier New" w:cs="Courier New" w:hint="default"/>
      </w:rPr>
    </w:lvl>
    <w:lvl w:ilvl="5" w:tplc="04050005" w:tentative="1">
      <w:start w:val="1"/>
      <w:numFmt w:val="bullet"/>
      <w:lvlText w:val=""/>
      <w:lvlJc w:val="left"/>
      <w:pPr>
        <w:ind w:left="4884" w:hanging="360"/>
      </w:pPr>
      <w:rPr>
        <w:rFonts w:ascii="Wingdings" w:hAnsi="Wingdings" w:hint="default"/>
      </w:rPr>
    </w:lvl>
    <w:lvl w:ilvl="6" w:tplc="04050001" w:tentative="1">
      <w:start w:val="1"/>
      <w:numFmt w:val="bullet"/>
      <w:lvlText w:val=""/>
      <w:lvlJc w:val="left"/>
      <w:pPr>
        <w:ind w:left="5604" w:hanging="360"/>
      </w:pPr>
      <w:rPr>
        <w:rFonts w:ascii="Symbol" w:hAnsi="Symbol" w:hint="default"/>
      </w:rPr>
    </w:lvl>
    <w:lvl w:ilvl="7" w:tplc="04050003" w:tentative="1">
      <w:start w:val="1"/>
      <w:numFmt w:val="bullet"/>
      <w:lvlText w:val="o"/>
      <w:lvlJc w:val="left"/>
      <w:pPr>
        <w:ind w:left="6324" w:hanging="360"/>
      </w:pPr>
      <w:rPr>
        <w:rFonts w:ascii="Courier New" w:hAnsi="Courier New" w:cs="Courier New" w:hint="default"/>
      </w:rPr>
    </w:lvl>
    <w:lvl w:ilvl="8" w:tplc="04050005" w:tentative="1">
      <w:start w:val="1"/>
      <w:numFmt w:val="bullet"/>
      <w:lvlText w:val=""/>
      <w:lvlJc w:val="left"/>
      <w:pPr>
        <w:ind w:left="7044" w:hanging="360"/>
      </w:pPr>
      <w:rPr>
        <w:rFonts w:ascii="Wingdings" w:hAnsi="Wingdings" w:hint="default"/>
      </w:rPr>
    </w:lvl>
  </w:abstractNum>
  <w:abstractNum w:abstractNumId="1" w15:restartNumberingAfterBreak="0">
    <w:nsid w:val="08EF5E2D"/>
    <w:multiLevelType w:val="hybridMultilevel"/>
    <w:tmpl w:val="2778A7CE"/>
    <w:lvl w:ilvl="0" w:tplc="017C4852">
      <w:start w:val="1"/>
      <w:numFmt w:val="bullet"/>
      <w:pStyle w:val="odrka"/>
      <w:lvlText w:val=""/>
      <w:lvlJc w:val="left"/>
      <w:pPr>
        <w:tabs>
          <w:tab w:val="num" w:pos="927"/>
        </w:tabs>
        <w:ind w:left="927" w:hanging="360"/>
      </w:pPr>
      <w:rPr>
        <w:rFonts w:ascii="Wingdings" w:hAnsi="Wingdings" w:hint="default"/>
      </w:rPr>
    </w:lvl>
    <w:lvl w:ilvl="1" w:tplc="04050003">
      <w:start w:val="1"/>
      <w:numFmt w:val="bullet"/>
      <w:lvlText w:val="o"/>
      <w:lvlJc w:val="left"/>
      <w:pPr>
        <w:tabs>
          <w:tab w:val="num" w:pos="1647"/>
        </w:tabs>
        <w:ind w:left="1647" w:hanging="360"/>
      </w:pPr>
      <w:rPr>
        <w:rFonts w:ascii="Courier New" w:hAnsi="Courier New" w:hint="default"/>
      </w:rPr>
    </w:lvl>
    <w:lvl w:ilvl="2" w:tplc="04050005" w:tentative="1">
      <w:start w:val="1"/>
      <w:numFmt w:val="bullet"/>
      <w:lvlText w:val=""/>
      <w:lvlJc w:val="left"/>
      <w:pPr>
        <w:tabs>
          <w:tab w:val="num" w:pos="2367"/>
        </w:tabs>
        <w:ind w:left="2367" w:hanging="360"/>
      </w:pPr>
      <w:rPr>
        <w:rFonts w:ascii="Wingdings" w:hAnsi="Wingdings" w:hint="default"/>
      </w:rPr>
    </w:lvl>
    <w:lvl w:ilvl="3" w:tplc="04050001" w:tentative="1">
      <w:start w:val="1"/>
      <w:numFmt w:val="bullet"/>
      <w:lvlText w:val=""/>
      <w:lvlJc w:val="left"/>
      <w:pPr>
        <w:tabs>
          <w:tab w:val="num" w:pos="3087"/>
        </w:tabs>
        <w:ind w:left="3087" w:hanging="360"/>
      </w:pPr>
      <w:rPr>
        <w:rFonts w:ascii="Symbol" w:hAnsi="Symbol" w:hint="default"/>
      </w:rPr>
    </w:lvl>
    <w:lvl w:ilvl="4" w:tplc="04050003" w:tentative="1">
      <w:start w:val="1"/>
      <w:numFmt w:val="bullet"/>
      <w:lvlText w:val="o"/>
      <w:lvlJc w:val="left"/>
      <w:pPr>
        <w:tabs>
          <w:tab w:val="num" w:pos="3807"/>
        </w:tabs>
        <w:ind w:left="3807" w:hanging="360"/>
      </w:pPr>
      <w:rPr>
        <w:rFonts w:ascii="Courier New" w:hAnsi="Courier New" w:hint="default"/>
      </w:rPr>
    </w:lvl>
    <w:lvl w:ilvl="5" w:tplc="04050005" w:tentative="1">
      <w:start w:val="1"/>
      <w:numFmt w:val="bullet"/>
      <w:lvlText w:val=""/>
      <w:lvlJc w:val="left"/>
      <w:pPr>
        <w:tabs>
          <w:tab w:val="num" w:pos="4527"/>
        </w:tabs>
        <w:ind w:left="4527" w:hanging="360"/>
      </w:pPr>
      <w:rPr>
        <w:rFonts w:ascii="Wingdings" w:hAnsi="Wingdings" w:hint="default"/>
      </w:rPr>
    </w:lvl>
    <w:lvl w:ilvl="6" w:tplc="04050001" w:tentative="1">
      <w:start w:val="1"/>
      <w:numFmt w:val="bullet"/>
      <w:lvlText w:val=""/>
      <w:lvlJc w:val="left"/>
      <w:pPr>
        <w:tabs>
          <w:tab w:val="num" w:pos="5247"/>
        </w:tabs>
        <w:ind w:left="5247" w:hanging="360"/>
      </w:pPr>
      <w:rPr>
        <w:rFonts w:ascii="Symbol" w:hAnsi="Symbol" w:hint="default"/>
      </w:rPr>
    </w:lvl>
    <w:lvl w:ilvl="7" w:tplc="04050003" w:tentative="1">
      <w:start w:val="1"/>
      <w:numFmt w:val="bullet"/>
      <w:lvlText w:val="o"/>
      <w:lvlJc w:val="left"/>
      <w:pPr>
        <w:tabs>
          <w:tab w:val="num" w:pos="5967"/>
        </w:tabs>
        <w:ind w:left="5967" w:hanging="360"/>
      </w:pPr>
      <w:rPr>
        <w:rFonts w:ascii="Courier New" w:hAnsi="Courier New" w:hint="default"/>
      </w:rPr>
    </w:lvl>
    <w:lvl w:ilvl="8" w:tplc="04050005" w:tentative="1">
      <w:start w:val="1"/>
      <w:numFmt w:val="bullet"/>
      <w:lvlText w:val=""/>
      <w:lvlJc w:val="left"/>
      <w:pPr>
        <w:tabs>
          <w:tab w:val="num" w:pos="6687"/>
        </w:tabs>
        <w:ind w:left="6687" w:hanging="360"/>
      </w:pPr>
      <w:rPr>
        <w:rFonts w:ascii="Wingdings" w:hAnsi="Wingdings" w:hint="default"/>
      </w:rPr>
    </w:lvl>
  </w:abstractNum>
  <w:abstractNum w:abstractNumId="2" w15:restartNumberingAfterBreak="0">
    <w:nsid w:val="11632C53"/>
    <w:multiLevelType w:val="hybridMultilevel"/>
    <w:tmpl w:val="2CF4FE96"/>
    <w:lvl w:ilvl="0" w:tplc="74985D1A">
      <w:start w:val="1"/>
      <w:numFmt w:val="lowerLetter"/>
      <w:pStyle w:val="Seznama"/>
      <w:lvlText w:val="%1)"/>
      <w:lvlJc w:val="left"/>
      <w:pPr>
        <w:tabs>
          <w:tab w:val="num" w:pos="454"/>
        </w:tabs>
        <w:ind w:left="454" w:hanging="45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17B5842"/>
    <w:multiLevelType w:val="hybridMultilevel"/>
    <w:tmpl w:val="3EACB570"/>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12BE5560">
      <w:numFmt w:val="bullet"/>
      <w:lvlText w:val="-"/>
      <w:lvlJc w:val="left"/>
      <w:pPr>
        <w:ind w:left="3447" w:hanging="360"/>
      </w:pPr>
      <w:rPr>
        <w:rFonts w:ascii="Verdana" w:eastAsia="Times New Roman" w:hAnsi="Verdana" w:cs="Times New Roman" w:hint="default"/>
      </w:rPr>
    </w:lvl>
    <w:lvl w:ilvl="4" w:tplc="04050003">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15:restartNumberingAfterBreak="0">
    <w:nsid w:val="216D12FF"/>
    <w:multiLevelType w:val="hybridMultilevel"/>
    <w:tmpl w:val="F626AC46"/>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22833420"/>
    <w:multiLevelType w:val="hybridMultilevel"/>
    <w:tmpl w:val="07FCD3A4"/>
    <w:lvl w:ilvl="0" w:tplc="04050005">
      <w:start w:val="1"/>
      <w:numFmt w:val="bullet"/>
      <w:lvlText w:val=""/>
      <w:lvlJc w:val="left"/>
      <w:pPr>
        <w:tabs>
          <w:tab w:val="num" w:pos="1107"/>
        </w:tabs>
        <w:ind w:left="1107" w:hanging="360"/>
      </w:pPr>
      <w:rPr>
        <w:rFonts w:ascii="Wingdings" w:hAnsi="Wingdings" w:hint="default"/>
      </w:rPr>
    </w:lvl>
    <w:lvl w:ilvl="1" w:tplc="05D05560">
      <w:start w:val="1"/>
      <w:numFmt w:val="decimal"/>
      <w:lvlText w:val="%2."/>
      <w:lvlJc w:val="left"/>
      <w:pPr>
        <w:tabs>
          <w:tab w:val="num" w:pos="1827"/>
        </w:tabs>
        <w:ind w:left="1827" w:hanging="360"/>
      </w:pPr>
      <w:rPr>
        <w:rFonts w:cs="Times New Roman" w:hint="default"/>
      </w:rPr>
    </w:lvl>
    <w:lvl w:ilvl="2" w:tplc="04050005">
      <w:start w:val="1"/>
      <w:numFmt w:val="bullet"/>
      <w:lvlText w:val=""/>
      <w:lvlJc w:val="left"/>
      <w:pPr>
        <w:tabs>
          <w:tab w:val="num" w:pos="2547"/>
        </w:tabs>
        <w:ind w:left="2547" w:hanging="360"/>
      </w:pPr>
      <w:rPr>
        <w:rFonts w:ascii="Wingdings" w:hAnsi="Wingdings" w:hint="default"/>
      </w:rPr>
    </w:lvl>
    <w:lvl w:ilvl="3" w:tplc="04050001" w:tentative="1">
      <w:start w:val="1"/>
      <w:numFmt w:val="bullet"/>
      <w:lvlText w:val=""/>
      <w:lvlJc w:val="left"/>
      <w:pPr>
        <w:tabs>
          <w:tab w:val="num" w:pos="3267"/>
        </w:tabs>
        <w:ind w:left="3267" w:hanging="360"/>
      </w:pPr>
      <w:rPr>
        <w:rFonts w:ascii="Symbol" w:hAnsi="Symbol" w:hint="default"/>
      </w:rPr>
    </w:lvl>
    <w:lvl w:ilvl="4" w:tplc="04050003">
      <w:start w:val="1"/>
      <w:numFmt w:val="bullet"/>
      <w:lvlText w:val="o"/>
      <w:lvlJc w:val="left"/>
      <w:pPr>
        <w:tabs>
          <w:tab w:val="num" w:pos="3987"/>
        </w:tabs>
        <w:ind w:left="3987" w:hanging="360"/>
      </w:pPr>
      <w:rPr>
        <w:rFonts w:ascii="Courier New" w:hAnsi="Courier New" w:hint="default"/>
      </w:rPr>
    </w:lvl>
    <w:lvl w:ilvl="5" w:tplc="04050005" w:tentative="1">
      <w:start w:val="1"/>
      <w:numFmt w:val="bullet"/>
      <w:lvlText w:val=""/>
      <w:lvlJc w:val="left"/>
      <w:pPr>
        <w:tabs>
          <w:tab w:val="num" w:pos="4707"/>
        </w:tabs>
        <w:ind w:left="4707" w:hanging="360"/>
      </w:pPr>
      <w:rPr>
        <w:rFonts w:ascii="Wingdings" w:hAnsi="Wingdings" w:hint="default"/>
      </w:rPr>
    </w:lvl>
    <w:lvl w:ilvl="6" w:tplc="04050001" w:tentative="1">
      <w:start w:val="1"/>
      <w:numFmt w:val="bullet"/>
      <w:lvlText w:val=""/>
      <w:lvlJc w:val="left"/>
      <w:pPr>
        <w:tabs>
          <w:tab w:val="num" w:pos="5427"/>
        </w:tabs>
        <w:ind w:left="5427" w:hanging="360"/>
      </w:pPr>
      <w:rPr>
        <w:rFonts w:ascii="Symbol" w:hAnsi="Symbol" w:hint="default"/>
      </w:rPr>
    </w:lvl>
    <w:lvl w:ilvl="7" w:tplc="04050003" w:tentative="1">
      <w:start w:val="1"/>
      <w:numFmt w:val="bullet"/>
      <w:lvlText w:val="o"/>
      <w:lvlJc w:val="left"/>
      <w:pPr>
        <w:tabs>
          <w:tab w:val="num" w:pos="6147"/>
        </w:tabs>
        <w:ind w:left="6147" w:hanging="360"/>
      </w:pPr>
      <w:rPr>
        <w:rFonts w:ascii="Courier New" w:hAnsi="Courier New" w:hint="default"/>
      </w:rPr>
    </w:lvl>
    <w:lvl w:ilvl="8" w:tplc="04050005" w:tentative="1">
      <w:start w:val="1"/>
      <w:numFmt w:val="bullet"/>
      <w:lvlText w:val=""/>
      <w:lvlJc w:val="left"/>
      <w:pPr>
        <w:tabs>
          <w:tab w:val="num" w:pos="6867"/>
        </w:tabs>
        <w:ind w:left="6867" w:hanging="360"/>
      </w:pPr>
      <w:rPr>
        <w:rFonts w:ascii="Wingdings" w:hAnsi="Wingdings" w:hint="default"/>
      </w:rPr>
    </w:lvl>
  </w:abstractNum>
  <w:abstractNum w:abstractNumId="6" w15:restartNumberingAfterBreak="0">
    <w:nsid w:val="24824A28"/>
    <w:multiLevelType w:val="multilevel"/>
    <w:tmpl w:val="01CE9BB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pStyle w:val="Nadpis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15:restartNumberingAfterBreak="0">
    <w:nsid w:val="284047F2"/>
    <w:multiLevelType w:val="hybridMultilevel"/>
    <w:tmpl w:val="BC463838"/>
    <w:lvl w:ilvl="0" w:tplc="15F26836">
      <w:start w:val="1"/>
      <w:numFmt w:val="lowerLetter"/>
      <w:lvlText w:val="%1)"/>
      <w:lvlJc w:val="left"/>
      <w:pPr>
        <w:ind w:left="927" w:hanging="360"/>
      </w:pPr>
      <w:rPr>
        <w:rFonts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8" w15:restartNumberingAfterBreak="0">
    <w:nsid w:val="29CE08A6"/>
    <w:multiLevelType w:val="hybridMultilevel"/>
    <w:tmpl w:val="DD30195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9" w15:restartNumberingAfterBreak="0">
    <w:nsid w:val="385E2C15"/>
    <w:multiLevelType w:val="hybridMultilevel"/>
    <w:tmpl w:val="DB7A6EA6"/>
    <w:lvl w:ilvl="0" w:tplc="05D05560">
      <w:start w:val="1"/>
      <w:numFmt w:val="decimal"/>
      <w:lvlText w:val="%1."/>
      <w:lvlJc w:val="left"/>
      <w:pPr>
        <w:ind w:left="1284" w:hanging="360"/>
      </w:pPr>
      <w:rPr>
        <w:rFonts w:cs="Times New Roman" w:hint="default"/>
      </w:rPr>
    </w:lvl>
    <w:lvl w:ilvl="1" w:tplc="05D05560">
      <w:start w:val="1"/>
      <w:numFmt w:val="decimal"/>
      <w:lvlText w:val="%2."/>
      <w:lvlJc w:val="left"/>
      <w:pPr>
        <w:ind w:left="2004" w:hanging="360"/>
      </w:pPr>
      <w:rPr>
        <w:rFonts w:cs="Times New Roman" w:hint="default"/>
      </w:rPr>
    </w:lvl>
    <w:lvl w:ilvl="2" w:tplc="04050005" w:tentative="1">
      <w:start w:val="1"/>
      <w:numFmt w:val="bullet"/>
      <w:lvlText w:val=""/>
      <w:lvlJc w:val="left"/>
      <w:pPr>
        <w:ind w:left="2724" w:hanging="360"/>
      </w:pPr>
      <w:rPr>
        <w:rFonts w:ascii="Wingdings" w:hAnsi="Wingdings" w:hint="default"/>
      </w:rPr>
    </w:lvl>
    <w:lvl w:ilvl="3" w:tplc="04050001" w:tentative="1">
      <w:start w:val="1"/>
      <w:numFmt w:val="bullet"/>
      <w:lvlText w:val=""/>
      <w:lvlJc w:val="left"/>
      <w:pPr>
        <w:ind w:left="3444" w:hanging="360"/>
      </w:pPr>
      <w:rPr>
        <w:rFonts w:ascii="Symbol" w:hAnsi="Symbol" w:hint="default"/>
      </w:rPr>
    </w:lvl>
    <w:lvl w:ilvl="4" w:tplc="04050003" w:tentative="1">
      <w:start w:val="1"/>
      <w:numFmt w:val="bullet"/>
      <w:lvlText w:val="o"/>
      <w:lvlJc w:val="left"/>
      <w:pPr>
        <w:ind w:left="4164" w:hanging="360"/>
      </w:pPr>
      <w:rPr>
        <w:rFonts w:ascii="Courier New" w:hAnsi="Courier New" w:cs="Courier New" w:hint="default"/>
      </w:rPr>
    </w:lvl>
    <w:lvl w:ilvl="5" w:tplc="04050005" w:tentative="1">
      <w:start w:val="1"/>
      <w:numFmt w:val="bullet"/>
      <w:lvlText w:val=""/>
      <w:lvlJc w:val="left"/>
      <w:pPr>
        <w:ind w:left="4884" w:hanging="360"/>
      </w:pPr>
      <w:rPr>
        <w:rFonts w:ascii="Wingdings" w:hAnsi="Wingdings" w:hint="default"/>
      </w:rPr>
    </w:lvl>
    <w:lvl w:ilvl="6" w:tplc="04050001" w:tentative="1">
      <w:start w:val="1"/>
      <w:numFmt w:val="bullet"/>
      <w:lvlText w:val=""/>
      <w:lvlJc w:val="left"/>
      <w:pPr>
        <w:ind w:left="5604" w:hanging="360"/>
      </w:pPr>
      <w:rPr>
        <w:rFonts w:ascii="Symbol" w:hAnsi="Symbol" w:hint="default"/>
      </w:rPr>
    </w:lvl>
    <w:lvl w:ilvl="7" w:tplc="04050003" w:tentative="1">
      <w:start w:val="1"/>
      <w:numFmt w:val="bullet"/>
      <w:lvlText w:val="o"/>
      <w:lvlJc w:val="left"/>
      <w:pPr>
        <w:ind w:left="6324" w:hanging="360"/>
      </w:pPr>
      <w:rPr>
        <w:rFonts w:ascii="Courier New" w:hAnsi="Courier New" w:cs="Courier New" w:hint="default"/>
      </w:rPr>
    </w:lvl>
    <w:lvl w:ilvl="8" w:tplc="04050005" w:tentative="1">
      <w:start w:val="1"/>
      <w:numFmt w:val="bullet"/>
      <w:lvlText w:val=""/>
      <w:lvlJc w:val="left"/>
      <w:pPr>
        <w:ind w:left="7044" w:hanging="360"/>
      </w:pPr>
      <w:rPr>
        <w:rFonts w:ascii="Wingdings" w:hAnsi="Wingdings" w:hint="default"/>
      </w:rPr>
    </w:lvl>
  </w:abstractNum>
  <w:abstractNum w:abstractNumId="10" w15:restartNumberingAfterBreak="0">
    <w:nsid w:val="3C3F0EC6"/>
    <w:multiLevelType w:val="hybridMultilevel"/>
    <w:tmpl w:val="C9D4650C"/>
    <w:lvl w:ilvl="0" w:tplc="04050003">
      <w:start w:val="1"/>
      <w:numFmt w:val="bullet"/>
      <w:lvlText w:val="o"/>
      <w:lvlJc w:val="left"/>
      <w:pPr>
        <w:ind w:left="1647" w:hanging="360"/>
      </w:pPr>
      <w:rPr>
        <w:rFonts w:ascii="Courier New" w:hAnsi="Courier New" w:cs="Courier New" w:hint="default"/>
      </w:rPr>
    </w:lvl>
    <w:lvl w:ilvl="1" w:tplc="04050003" w:tentative="1">
      <w:start w:val="1"/>
      <w:numFmt w:val="bullet"/>
      <w:lvlText w:val="o"/>
      <w:lvlJc w:val="left"/>
      <w:pPr>
        <w:ind w:left="2367" w:hanging="360"/>
      </w:pPr>
      <w:rPr>
        <w:rFonts w:ascii="Courier New" w:hAnsi="Courier New" w:cs="Courier New" w:hint="default"/>
      </w:rPr>
    </w:lvl>
    <w:lvl w:ilvl="2" w:tplc="04050005" w:tentative="1">
      <w:start w:val="1"/>
      <w:numFmt w:val="bullet"/>
      <w:lvlText w:val=""/>
      <w:lvlJc w:val="left"/>
      <w:pPr>
        <w:ind w:left="3087" w:hanging="360"/>
      </w:pPr>
      <w:rPr>
        <w:rFonts w:ascii="Wingdings" w:hAnsi="Wingdings" w:hint="default"/>
      </w:rPr>
    </w:lvl>
    <w:lvl w:ilvl="3" w:tplc="04050001" w:tentative="1">
      <w:start w:val="1"/>
      <w:numFmt w:val="bullet"/>
      <w:lvlText w:val=""/>
      <w:lvlJc w:val="left"/>
      <w:pPr>
        <w:ind w:left="3807" w:hanging="360"/>
      </w:pPr>
      <w:rPr>
        <w:rFonts w:ascii="Symbol" w:hAnsi="Symbol" w:hint="default"/>
      </w:rPr>
    </w:lvl>
    <w:lvl w:ilvl="4" w:tplc="04050003" w:tentative="1">
      <w:start w:val="1"/>
      <w:numFmt w:val="bullet"/>
      <w:lvlText w:val="o"/>
      <w:lvlJc w:val="left"/>
      <w:pPr>
        <w:ind w:left="4527" w:hanging="360"/>
      </w:pPr>
      <w:rPr>
        <w:rFonts w:ascii="Courier New" w:hAnsi="Courier New" w:cs="Courier New" w:hint="default"/>
      </w:rPr>
    </w:lvl>
    <w:lvl w:ilvl="5" w:tplc="04050005" w:tentative="1">
      <w:start w:val="1"/>
      <w:numFmt w:val="bullet"/>
      <w:lvlText w:val=""/>
      <w:lvlJc w:val="left"/>
      <w:pPr>
        <w:ind w:left="5247" w:hanging="360"/>
      </w:pPr>
      <w:rPr>
        <w:rFonts w:ascii="Wingdings" w:hAnsi="Wingdings" w:hint="default"/>
      </w:rPr>
    </w:lvl>
    <w:lvl w:ilvl="6" w:tplc="04050001" w:tentative="1">
      <w:start w:val="1"/>
      <w:numFmt w:val="bullet"/>
      <w:lvlText w:val=""/>
      <w:lvlJc w:val="left"/>
      <w:pPr>
        <w:ind w:left="5967" w:hanging="360"/>
      </w:pPr>
      <w:rPr>
        <w:rFonts w:ascii="Symbol" w:hAnsi="Symbol" w:hint="default"/>
      </w:rPr>
    </w:lvl>
    <w:lvl w:ilvl="7" w:tplc="04050003" w:tentative="1">
      <w:start w:val="1"/>
      <w:numFmt w:val="bullet"/>
      <w:lvlText w:val="o"/>
      <w:lvlJc w:val="left"/>
      <w:pPr>
        <w:ind w:left="6687" w:hanging="360"/>
      </w:pPr>
      <w:rPr>
        <w:rFonts w:ascii="Courier New" w:hAnsi="Courier New" w:cs="Courier New" w:hint="default"/>
      </w:rPr>
    </w:lvl>
    <w:lvl w:ilvl="8" w:tplc="04050005" w:tentative="1">
      <w:start w:val="1"/>
      <w:numFmt w:val="bullet"/>
      <w:lvlText w:val=""/>
      <w:lvlJc w:val="left"/>
      <w:pPr>
        <w:ind w:left="7407" w:hanging="360"/>
      </w:pPr>
      <w:rPr>
        <w:rFonts w:ascii="Wingdings" w:hAnsi="Wingdings" w:hint="default"/>
      </w:rPr>
    </w:lvl>
  </w:abstractNum>
  <w:abstractNum w:abstractNumId="11" w15:restartNumberingAfterBreak="0">
    <w:nsid w:val="42811C46"/>
    <w:multiLevelType w:val="singleLevel"/>
    <w:tmpl w:val="13E81144"/>
    <w:lvl w:ilvl="0">
      <w:start w:val="1"/>
      <w:numFmt w:val="bullet"/>
      <w:pStyle w:val="Normlnodsazen"/>
      <w:lvlText w:val="-"/>
      <w:lvlJc w:val="left"/>
      <w:pPr>
        <w:tabs>
          <w:tab w:val="num" w:pos="360"/>
        </w:tabs>
        <w:ind w:left="360" w:hanging="360"/>
      </w:pPr>
      <w:rPr>
        <w:rFonts w:ascii="Times New Roman" w:hAnsi="Times New Roman" w:hint="default"/>
      </w:rPr>
    </w:lvl>
  </w:abstractNum>
  <w:abstractNum w:abstractNumId="12" w15:restartNumberingAfterBreak="0">
    <w:nsid w:val="43B233C3"/>
    <w:multiLevelType w:val="multilevel"/>
    <w:tmpl w:val="96BE794A"/>
    <w:lvl w:ilvl="0">
      <w:start w:val="1"/>
      <w:numFmt w:val="decimal"/>
      <w:pStyle w:val="Nadpis1"/>
      <w:lvlText w:val="%1"/>
      <w:lvlJc w:val="left"/>
      <w:pPr>
        <w:tabs>
          <w:tab w:val="num" w:pos="432"/>
        </w:tabs>
        <w:ind w:left="432" w:hanging="432"/>
      </w:pPr>
      <w:rPr>
        <w:rFonts w:cs="Times New Roman" w:hint="default"/>
      </w:rPr>
    </w:lvl>
    <w:lvl w:ilvl="1">
      <w:start w:val="1"/>
      <w:numFmt w:val="decimal"/>
      <w:pStyle w:val="Nadpis2"/>
      <w:lvlText w:val="%1.%2"/>
      <w:lvlJc w:val="left"/>
      <w:pPr>
        <w:tabs>
          <w:tab w:val="num" w:pos="576"/>
        </w:tabs>
        <w:ind w:left="576" w:hanging="576"/>
      </w:pPr>
      <w:rPr>
        <w:rFonts w:cs="Times New Roman" w:hint="default"/>
      </w:rPr>
    </w:lvl>
    <w:lvl w:ilvl="2">
      <w:start w:val="1"/>
      <w:numFmt w:val="decimal"/>
      <w:pStyle w:val="Nadpis30"/>
      <w:lvlText w:val="%1.%2.%3"/>
      <w:lvlJc w:val="left"/>
      <w:pPr>
        <w:tabs>
          <w:tab w:val="num" w:pos="3556"/>
        </w:tabs>
        <w:ind w:left="3556" w:hanging="720"/>
      </w:pPr>
      <w:rPr>
        <w:rFonts w:cs="Times New Roman" w:hint="default"/>
      </w:rPr>
    </w:lvl>
    <w:lvl w:ilvl="3">
      <w:numFmt w:val="decimal"/>
      <w:pStyle w:val="Nadpis4"/>
      <w:lvlText w:val="%1.%2.%3.%4"/>
      <w:lvlJc w:val="left"/>
      <w:pPr>
        <w:tabs>
          <w:tab w:val="num" w:pos="1715"/>
        </w:tabs>
        <w:ind w:left="1715" w:hanging="864"/>
      </w:pPr>
      <w:rPr>
        <w:rFonts w:cs="Times New Roman" w:hint="default"/>
      </w:rPr>
    </w:lvl>
    <w:lvl w:ilvl="4">
      <w:start w:val="1"/>
      <w:numFmt w:val="decimal"/>
      <w:pStyle w:val="Normln"/>
      <w:lvlText w:val="(%5)"/>
      <w:lvlJc w:val="left"/>
      <w:pPr>
        <w:tabs>
          <w:tab w:val="num" w:pos="709"/>
        </w:tabs>
        <w:ind w:left="709" w:hanging="567"/>
      </w:pPr>
      <w:rPr>
        <w:rFonts w:ascii="Verdana" w:eastAsia="Times New Roman" w:hAnsi="Verdana" w:cs="Times New Roman" w:hint="default"/>
        <w:b w:val="0"/>
        <w:strike w:val="0"/>
        <w:sz w:val="18"/>
        <w:szCs w:val="18"/>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441B7FE3"/>
    <w:multiLevelType w:val="hybridMultilevel"/>
    <w:tmpl w:val="105A9772"/>
    <w:lvl w:ilvl="0" w:tplc="57968504">
      <w:start w:val="1"/>
      <w:numFmt w:val="lowerLetter"/>
      <w:lvlText w:val="%1)"/>
      <w:lvlJc w:val="left"/>
      <w:pPr>
        <w:ind w:left="92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42B6CE3"/>
    <w:multiLevelType w:val="hybridMultilevel"/>
    <w:tmpl w:val="04661FC2"/>
    <w:lvl w:ilvl="0" w:tplc="04050017">
      <w:start w:val="1"/>
      <w:numFmt w:val="lowerLetter"/>
      <w:lvlText w:val="%1)"/>
      <w:lvlJc w:val="left"/>
      <w:pPr>
        <w:ind w:left="927" w:hanging="360"/>
      </w:pPr>
      <w:rPr>
        <w:rFonts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5" w15:restartNumberingAfterBreak="0">
    <w:nsid w:val="452264E5"/>
    <w:multiLevelType w:val="hybridMultilevel"/>
    <w:tmpl w:val="E5B0277C"/>
    <w:lvl w:ilvl="0" w:tplc="5582D74E">
      <w:start w:val="1"/>
      <w:numFmt w:val="lowerLetter"/>
      <w:lvlText w:val="%1)"/>
      <w:lvlJc w:val="left"/>
      <w:pPr>
        <w:ind w:left="92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5823D58"/>
    <w:multiLevelType w:val="hybridMultilevel"/>
    <w:tmpl w:val="0D8CFCDE"/>
    <w:lvl w:ilvl="0" w:tplc="04050001">
      <w:start w:val="1"/>
      <w:numFmt w:val="bullet"/>
      <w:lvlText w:val=""/>
      <w:lvlJc w:val="left"/>
      <w:pPr>
        <w:ind w:left="927" w:hanging="360"/>
      </w:pPr>
      <w:rPr>
        <w:rFonts w:ascii="Symbol" w:hAnsi="Symbol" w:hint="default"/>
      </w:rPr>
    </w:lvl>
    <w:lvl w:ilvl="1" w:tplc="04050003">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7" w15:restartNumberingAfterBreak="0">
    <w:nsid w:val="4639360A"/>
    <w:multiLevelType w:val="hybridMultilevel"/>
    <w:tmpl w:val="A2CA922C"/>
    <w:lvl w:ilvl="0" w:tplc="05D05560">
      <w:start w:val="1"/>
      <w:numFmt w:val="decimal"/>
      <w:lvlText w:val="%1."/>
      <w:lvlJc w:val="left"/>
      <w:pPr>
        <w:ind w:left="927" w:hanging="360"/>
      </w:pPr>
      <w:rPr>
        <w:rFonts w:cs="Times New Roman" w:hint="default"/>
      </w:rPr>
    </w:lvl>
    <w:lvl w:ilvl="1" w:tplc="04050003">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8" w15:restartNumberingAfterBreak="0">
    <w:nsid w:val="4B3F7A01"/>
    <w:multiLevelType w:val="hybridMultilevel"/>
    <w:tmpl w:val="20D620FA"/>
    <w:lvl w:ilvl="0" w:tplc="2E560FCA">
      <w:start w:val="1"/>
      <w:numFmt w:val="lowerLetter"/>
      <w:lvlText w:val="%1)"/>
      <w:lvlJc w:val="left"/>
      <w:pPr>
        <w:ind w:left="1107" w:hanging="360"/>
      </w:pPr>
      <w:rPr>
        <w:rFonts w:hint="default"/>
      </w:rPr>
    </w:lvl>
    <w:lvl w:ilvl="1" w:tplc="04050019" w:tentative="1">
      <w:start w:val="1"/>
      <w:numFmt w:val="lowerLetter"/>
      <w:lvlText w:val="%2."/>
      <w:lvlJc w:val="left"/>
      <w:pPr>
        <w:ind w:left="1827" w:hanging="360"/>
      </w:pPr>
    </w:lvl>
    <w:lvl w:ilvl="2" w:tplc="0405001B" w:tentative="1">
      <w:start w:val="1"/>
      <w:numFmt w:val="lowerRoman"/>
      <w:lvlText w:val="%3."/>
      <w:lvlJc w:val="right"/>
      <w:pPr>
        <w:ind w:left="2547" w:hanging="180"/>
      </w:pPr>
    </w:lvl>
    <w:lvl w:ilvl="3" w:tplc="0405000F" w:tentative="1">
      <w:start w:val="1"/>
      <w:numFmt w:val="decimal"/>
      <w:lvlText w:val="%4."/>
      <w:lvlJc w:val="left"/>
      <w:pPr>
        <w:ind w:left="3267" w:hanging="360"/>
      </w:pPr>
    </w:lvl>
    <w:lvl w:ilvl="4" w:tplc="04050019" w:tentative="1">
      <w:start w:val="1"/>
      <w:numFmt w:val="lowerLetter"/>
      <w:lvlText w:val="%5."/>
      <w:lvlJc w:val="left"/>
      <w:pPr>
        <w:ind w:left="3987" w:hanging="360"/>
      </w:pPr>
    </w:lvl>
    <w:lvl w:ilvl="5" w:tplc="0405001B" w:tentative="1">
      <w:start w:val="1"/>
      <w:numFmt w:val="lowerRoman"/>
      <w:lvlText w:val="%6."/>
      <w:lvlJc w:val="right"/>
      <w:pPr>
        <w:ind w:left="4707" w:hanging="180"/>
      </w:pPr>
    </w:lvl>
    <w:lvl w:ilvl="6" w:tplc="0405000F" w:tentative="1">
      <w:start w:val="1"/>
      <w:numFmt w:val="decimal"/>
      <w:lvlText w:val="%7."/>
      <w:lvlJc w:val="left"/>
      <w:pPr>
        <w:ind w:left="5427" w:hanging="360"/>
      </w:pPr>
    </w:lvl>
    <w:lvl w:ilvl="7" w:tplc="04050019" w:tentative="1">
      <w:start w:val="1"/>
      <w:numFmt w:val="lowerLetter"/>
      <w:lvlText w:val="%8."/>
      <w:lvlJc w:val="left"/>
      <w:pPr>
        <w:ind w:left="6147" w:hanging="360"/>
      </w:pPr>
    </w:lvl>
    <w:lvl w:ilvl="8" w:tplc="0405001B" w:tentative="1">
      <w:start w:val="1"/>
      <w:numFmt w:val="lowerRoman"/>
      <w:lvlText w:val="%9."/>
      <w:lvlJc w:val="right"/>
      <w:pPr>
        <w:ind w:left="6867" w:hanging="180"/>
      </w:pPr>
    </w:lvl>
  </w:abstractNum>
  <w:abstractNum w:abstractNumId="19" w15:restartNumberingAfterBreak="0">
    <w:nsid w:val="4EEE401B"/>
    <w:multiLevelType w:val="hybridMultilevel"/>
    <w:tmpl w:val="2A508A14"/>
    <w:lvl w:ilvl="0" w:tplc="87D0A8C6">
      <w:start w:val="1"/>
      <w:numFmt w:val="decimal"/>
      <w:lvlText w:val="%1)"/>
      <w:lvlJc w:val="left"/>
      <w:pPr>
        <w:ind w:left="927" w:hanging="360"/>
      </w:pPr>
      <w:rPr>
        <w:rFonts w:hint="default"/>
        <w:b/>
      </w:rPr>
    </w:lvl>
    <w:lvl w:ilvl="1" w:tplc="04050019">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20" w15:restartNumberingAfterBreak="0">
    <w:nsid w:val="5E896DFC"/>
    <w:multiLevelType w:val="hybridMultilevel"/>
    <w:tmpl w:val="614407B6"/>
    <w:lvl w:ilvl="0" w:tplc="04050003">
      <w:start w:val="1"/>
      <w:numFmt w:val="bullet"/>
      <w:lvlText w:val="o"/>
      <w:lvlJc w:val="left"/>
      <w:pPr>
        <w:ind w:left="1287" w:hanging="360"/>
      </w:pPr>
      <w:rPr>
        <w:rFonts w:ascii="Courier New" w:hAnsi="Courier New" w:cs="Courier New" w:hint="default"/>
      </w:rPr>
    </w:lvl>
    <w:lvl w:ilvl="1" w:tplc="04050003">
      <w:start w:val="1"/>
      <w:numFmt w:val="bullet"/>
      <w:lvlText w:val="o"/>
      <w:lvlJc w:val="left"/>
      <w:pPr>
        <w:ind w:left="2007" w:hanging="360"/>
      </w:pPr>
      <w:rPr>
        <w:rFonts w:ascii="Courier New" w:hAnsi="Courier New" w:cs="Courier New" w:hint="default"/>
      </w:rPr>
    </w:lvl>
    <w:lvl w:ilvl="2" w:tplc="04050005">
      <w:start w:val="1"/>
      <w:numFmt w:val="bullet"/>
      <w:lvlText w:val=""/>
      <w:lvlJc w:val="left"/>
      <w:pPr>
        <w:ind w:left="2727" w:hanging="360"/>
      </w:pPr>
      <w:rPr>
        <w:rFonts w:ascii="Wingdings" w:hAnsi="Wingdings" w:hint="default"/>
      </w:rPr>
    </w:lvl>
    <w:lvl w:ilvl="3" w:tplc="12BE5560">
      <w:numFmt w:val="bullet"/>
      <w:lvlText w:val="-"/>
      <w:lvlJc w:val="left"/>
      <w:pPr>
        <w:ind w:left="3447" w:hanging="360"/>
      </w:pPr>
      <w:rPr>
        <w:rFonts w:ascii="Verdana" w:eastAsia="Times New Roman" w:hAnsi="Verdana" w:cs="Times New Roman" w:hint="default"/>
      </w:rPr>
    </w:lvl>
    <w:lvl w:ilvl="4" w:tplc="04050003">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1" w15:restartNumberingAfterBreak="0">
    <w:nsid w:val="61665BA1"/>
    <w:multiLevelType w:val="hybridMultilevel"/>
    <w:tmpl w:val="732E4FFA"/>
    <w:lvl w:ilvl="0" w:tplc="04050001">
      <w:start w:val="1"/>
      <w:numFmt w:val="bullet"/>
      <w:lvlText w:val=""/>
      <w:lvlJc w:val="left"/>
      <w:pPr>
        <w:ind w:left="1287" w:hanging="360"/>
      </w:pPr>
      <w:rPr>
        <w:rFonts w:ascii="Symbol" w:hAnsi="Symbol" w:hint="default"/>
      </w:rPr>
    </w:lvl>
    <w:lvl w:ilvl="1" w:tplc="04050003">
      <w:start w:val="1"/>
      <w:numFmt w:val="bullet"/>
      <w:lvlText w:val="o"/>
      <w:lvlJc w:val="left"/>
      <w:pPr>
        <w:ind w:left="2007" w:hanging="360"/>
      </w:pPr>
      <w:rPr>
        <w:rFonts w:ascii="Courier New" w:hAnsi="Courier New" w:cs="Courier New" w:hint="default"/>
      </w:r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2" w15:restartNumberingAfterBreak="0">
    <w:nsid w:val="61D576D6"/>
    <w:multiLevelType w:val="hybridMultilevel"/>
    <w:tmpl w:val="8CD416F2"/>
    <w:lvl w:ilvl="0" w:tplc="A528858C">
      <w:start w:val="1"/>
      <w:numFmt w:val="lowerLetter"/>
      <w:lvlText w:val="%1)"/>
      <w:lvlJc w:val="left"/>
      <w:pPr>
        <w:ind w:left="927" w:hanging="360"/>
      </w:pPr>
      <w:rPr>
        <w:rFonts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23" w15:restartNumberingAfterBreak="0">
    <w:nsid w:val="6304653C"/>
    <w:multiLevelType w:val="hybridMultilevel"/>
    <w:tmpl w:val="ED346F7E"/>
    <w:lvl w:ilvl="0" w:tplc="189A25EA">
      <w:start w:val="1"/>
      <w:numFmt w:val="lowerLetter"/>
      <w:lvlText w:val="%1)"/>
      <w:lvlJc w:val="left"/>
      <w:pPr>
        <w:ind w:left="927" w:hanging="360"/>
      </w:pPr>
      <w:rPr>
        <w:rFonts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24" w15:restartNumberingAfterBreak="0">
    <w:nsid w:val="66F74FD1"/>
    <w:multiLevelType w:val="hybridMultilevel"/>
    <w:tmpl w:val="7B421218"/>
    <w:lvl w:ilvl="0" w:tplc="05D05560">
      <w:start w:val="1"/>
      <w:numFmt w:val="decimal"/>
      <w:lvlText w:val="%1."/>
      <w:lvlJc w:val="left"/>
      <w:pPr>
        <w:ind w:left="1284" w:hanging="360"/>
      </w:pPr>
      <w:rPr>
        <w:rFonts w:cs="Times New Roman" w:hint="default"/>
      </w:rPr>
    </w:lvl>
    <w:lvl w:ilvl="1" w:tplc="05D05560">
      <w:start w:val="1"/>
      <w:numFmt w:val="decimal"/>
      <w:lvlText w:val="%2."/>
      <w:lvlJc w:val="left"/>
      <w:pPr>
        <w:ind w:left="2004" w:hanging="360"/>
      </w:pPr>
      <w:rPr>
        <w:rFonts w:cs="Times New Roman" w:hint="default"/>
      </w:rPr>
    </w:lvl>
    <w:lvl w:ilvl="2" w:tplc="04050005" w:tentative="1">
      <w:start w:val="1"/>
      <w:numFmt w:val="bullet"/>
      <w:lvlText w:val=""/>
      <w:lvlJc w:val="left"/>
      <w:pPr>
        <w:ind w:left="2724" w:hanging="360"/>
      </w:pPr>
      <w:rPr>
        <w:rFonts w:ascii="Wingdings" w:hAnsi="Wingdings" w:hint="default"/>
      </w:rPr>
    </w:lvl>
    <w:lvl w:ilvl="3" w:tplc="04050001" w:tentative="1">
      <w:start w:val="1"/>
      <w:numFmt w:val="bullet"/>
      <w:lvlText w:val=""/>
      <w:lvlJc w:val="left"/>
      <w:pPr>
        <w:ind w:left="3444" w:hanging="360"/>
      </w:pPr>
      <w:rPr>
        <w:rFonts w:ascii="Symbol" w:hAnsi="Symbol" w:hint="default"/>
      </w:rPr>
    </w:lvl>
    <w:lvl w:ilvl="4" w:tplc="04050003" w:tentative="1">
      <w:start w:val="1"/>
      <w:numFmt w:val="bullet"/>
      <w:lvlText w:val="o"/>
      <w:lvlJc w:val="left"/>
      <w:pPr>
        <w:ind w:left="4164" w:hanging="360"/>
      </w:pPr>
      <w:rPr>
        <w:rFonts w:ascii="Courier New" w:hAnsi="Courier New" w:cs="Courier New" w:hint="default"/>
      </w:rPr>
    </w:lvl>
    <w:lvl w:ilvl="5" w:tplc="04050005" w:tentative="1">
      <w:start w:val="1"/>
      <w:numFmt w:val="bullet"/>
      <w:lvlText w:val=""/>
      <w:lvlJc w:val="left"/>
      <w:pPr>
        <w:ind w:left="4884" w:hanging="360"/>
      </w:pPr>
      <w:rPr>
        <w:rFonts w:ascii="Wingdings" w:hAnsi="Wingdings" w:hint="default"/>
      </w:rPr>
    </w:lvl>
    <w:lvl w:ilvl="6" w:tplc="04050001" w:tentative="1">
      <w:start w:val="1"/>
      <w:numFmt w:val="bullet"/>
      <w:lvlText w:val=""/>
      <w:lvlJc w:val="left"/>
      <w:pPr>
        <w:ind w:left="5604" w:hanging="360"/>
      </w:pPr>
      <w:rPr>
        <w:rFonts w:ascii="Symbol" w:hAnsi="Symbol" w:hint="default"/>
      </w:rPr>
    </w:lvl>
    <w:lvl w:ilvl="7" w:tplc="04050003" w:tentative="1">
      <w:start w:val="1"/>
      <w:numFmt w:val="bullet"/>
      <w:lvlText w:val="o"/>
      <w:lvlJc w:val="left"/>
      <w:pPr>
        <w:ind w:left="6324" w:hanging="360"/>
      </w:pPr>
      <w:rPr>
        <w:rFonts w:ascii="Courier New" w:hAnsi="Courier New" w:cs="Courier New" w:hint="default"/>
      </w:rPr>
    </w:lvl>
    <w:lvl w:ilvl="8" w:tplc="04050005" w:tentative="1">
      <w:start w:val="1"/>
      <w:numFmt w:val="bullet"/>
      <w:lvlText w:val=""/>
      <w:lvlJc w:val="left"/>
      <w:pPr>
        <w:ind w:left="7044" w:hanging="360"/>
      </w:pPr>
      <w:rPr>
        <w:rFonts w:ascii="Wingdings" w:hAnsi="Wingdings" w:hint="default"/>
      </w:rPr>
    </w:lvl>
  </w:abstractNum>
  <w:abstractNum w:abstractNumId="25" w15:restartNumberingAfterBreak="0">
    <w:nsid w:val="6AD413FC"/>
    <w:multiLevelType w:val="multilevel"/>
    <w:tmpl w:val="D72C71F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bullet"/>
      <w:pStyle w:val="mnusy"/>
      <w:lvlText w:val="-"/>
      <w:lvlJc w:val="left"/>
      <w:pPr>
        <w:tabs>
          <w:tab w:val="num" w:pos="360"/>
        </w:tabs>
        <w:ind w:left="360" w:hanging="360"/>
      </w:pPr>
      <w:rPr>
        <w:rFonts w:ascii="Times New Roman" w:hAnsi="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6B6F4AD2"/>
    <w:multiLevelType w:val="multilevel"/>
    <w:tmpl w:val="77C67E1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Nadpis5"/>
      <w:lvlText w:val="%1.%2.%3.%4.%5"/>
      <w:lvlJc w:val="left"/>
      <w:pPr>
        <w:tabs>
          <w:tab w:val="num" w:pos="1008"/>
        </w:tabs>
        <w:ind w:left="1008" w:hanging="1008"/>
      </w:pPr>
      <w:rPr>
        <w:rFonts w:cs="Times New Roman" w:hint="default"/>
      </w:rPr>
    </w:lvl>
    <w:lvl w:ilvl="5">
      <w:start w:val="1"/>
      <w:numFmt w:val="decimal"/>
      <w:pStyle w:val="Nadpis6"/>
      <w:lvlText w:val="%1.%2.%3.%4.%5.%6"/>
      <w:lvlJc w:val="left"/>
      <w:pPr>
        <w:tabs>
          <w:tab w:val="num" w:pos="1152"/>
        </w:tabs>
        <w:ind w:left="1152" w:hanging="1152"/>
      </w:pPr>
      <w:rPr>
        <w:rFonts w:cs="Times New Roman" w:hint="default"/>
      </w:rPr>
    </w:lvl>
    <w:lvl w:ilvl="6">
      <w:start w:val="1"/>
      <w:numFmt w:val="decimal"/>
      <w:pStyle w:val="Nadpis7"/>
      <w:lvlText w:val="%1.%2.%3.%4.%5.%6.%7"/>
      <w:lvlJc w:val="left"/>
      <w:pPr>
        <w:tabs>
          <w:tab w:val="num" w:pos="1296"/>
        </w:tabs>
        <w:ind w:left="1296" w:hanging="1296"/>
      </w:pPr>
      <w:rPr>
        <w:rFonts w:cs="Times New Roman" w:hint="default"/>
      </w:rPr>
    </w:lvl>
    <w:lvl w:ilvl="7">
      <w:start w:val="1"/>
      <w:numFmt w:val="decimal"/>
      <w:pStyle w:val="Nadpis8"/>
      <w:lvlText w:val="%1.%2.%3.%4.%5.%6.%7.%8"/>
      <w:lvlJc w:val="left"/>
      <w:pPr>
        <w:tabs>
          <w:tab w:val="num" w:pos="1440"/>
        </w:tabs>
        <w:ind w:left="1440" w:hanging="1440"/>
      </w:pPr>
      <w:rPr>
        <w:rFonts w:cs="Times New Roman" w:hint="default"/>
      </w:rPr>
    </w:lvl>
    <w:lvl w:ilvl="8">
      <w:start w:val="1"/>
      <w:numFmt w:val="decimal"/>
      <w:pStyle w:val="Nadpis9"/>
      <w:lvlText w:val="%1.%2.%3.%4.%5.%6.%7.%8.%9"/>
      <w:lvlJc w:val="left"/>
      <w:pPr>
        <w:tabs>
          <w:tab w:val="num" w:pos="1584"/>
        </w:tabs>
        <w:ind w:left="1584" w:hanging="1584"/>
      </w:pPr>
      <w:rPr>
        <w:rFonts w:cs="Times New Roman" w:hint="default"/>
      </w:rPr>
    </w:lvl>
  </w:abstractNum>
  <w:num w:numId="1">
    <w:abstractNumId w:val="6"/>
  </w:num>
  <w:num w:numId="2">
    <w:abstractNumId w:val="26"/>
  </w:num>
  <w:num w:numId="3">
    <w:abstractNumId w:val="1"/>
  </w:num>
  <w:num w:numId="4">
    <w:abstractNumId w:val="11"/>
  </w:num>
  <w:num w:numId="5">
    <w:abstractNumId w:val="12"/>
  </w:num>
  <w:num w:numId="6">
    <w:abstractNumId w:val="25"/>
  </w:num>
  <w:num w:numId="7">
    <w:abstractNumId w:val="5"/>
  </w:num>
  <w:num w:numId="8">
    <w:abstractNumId w:val="19"/>
  </w:num>
  <w:num w:numId="9">
    <w:abstractNumId w:val="3"/>
  </w:num>
  <w:num w:numId="10">
    <w:abstractNumId w:val="8"/>
  </w:num>
  <w:num w:numId="11">
    <w:abstractNumId w:val="18"/>
  </w:num>
  <w:num w:numId="12">
    <w:abstractNumId w:val="2"/>
  </w:num>
  <w:num w:numId="13">
    <w:abstractNumId w:val="4"/>
  </w:num>
  <w:num w:numId="14">
    <w:abstractNumId w:val="16"/>
  </w:num>
  <w:num w:numId="15">
    <w:abstractNumId w:val="14"/>
  </w:num>
  <w:num w:numId="16">
    <w:abstractNumId w:val="12"/>
    <w:lvlOverride w:ilvl="0">
      <w:startOverride w:val="2"/>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2"/>
  </w:num>
  <w:num w:numId="19">
    <w:abstractNumId w:val="7"/>
  </w:num>
  <w:num w:numId="20">
    <w:abstractNumId w:val="15"/>
  </w:num>
  <w:num w:numId="21">
    <w:abstractNumId w:val="9"/>
  </w:num>
  <w:num w:numId="22">
    <w:abstractNumId w:val="0"/>
  </w:num>
  <w:num w:numId="23">
    <w:abstractNumId w:val="20"/>
  </w:num>
  <w:num w:numId="24">
    <w:abstractNumId w:val="17"/>
  </w:num>
  <w:num w:numId="25">
    <w:abstractNumId w:val="24"/>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3"/>
  </w:num>
  <w:num w:numId="33">
    <w:abstractNumId w:val="12"/>
  </w:num>
  <w:num w:numId="34">
    <w:abstractNumId w:val="10"/>
  </w:num>
  <w:num w:numId="3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1843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47"/>
    <w:rsid w:val="000001D8"/>
    <w:rsid w:val="00000302"/>
    <w:rsid w:val="00001B11"/>
    <w:rsid w:val="00001E3F"/>
    <w:rsid w:val="00003CD6"/>
    <w:rsid w:val="00003DC3"/>
    <w:rsid w:val="000052A2"/>
    <w:rsid w:val="000061FC"/>
    <w:rsid w:val="00006ED0"/>
    <w:rsid w:val="00007963"/>
    <w:rsid w:val="00007A48"/>
    <w:rsid w:val="00011D3B"/>
    <w:rsid w:val="00012E46"/>
    <w:rsid w:val="00013611"/>
    <w:rsid w:val="000142CB"/>
    <w:rsid w:val="00014AC3"/>
    <w:rsid w:val="00020038"/>
    <w:rsid w:val="00021AA8"/>
    <w:rsid w:val="00025592"/>
    <w:rsid w:val="000275F1"/>
    <w:rsid w:val="00027988"/>
    <w:rsid w:val="00030676"/>
    <w:rsid w:val="00030B4F"/>
    <w:rsid w:val="00031415"/>
    <w:rsid w:val="00031713"/>
    <w:rsid w:val="000334DB"/>
    <w:rsid w:val="00033B52"/>
    <w:rsid w:val="00033D24"/>
    <w:rsid w:val="00040471"/>
    <w:rsid w:val="00040EF1"/>
    <w:rsid w:val="000422E8"/>
    <w:rsid w:val="00042642"/>
    <w:rsid w:val="00042EBA"/>
    <w:rsid w:val="0004570C"/>
    <w:rsid w:val="00046470"/>
    <w:rsid w:val="000464FB"/>
    <w:rsid w:val="00046BB3"/>
    <w:rsid w:val="00047815"/>
    <w:rsid w:val="0005218C"/>
    <w:rsid w:val="000528DE"/>
    <w:rsid w:val="00052DEF"/>
    <w:rsid w:val="00053BFE"/>
    <w:rsid w:val="000544B0"/>
    <w:rsid w:val="0005655D"/>
    <w:rsid w:val="00061CC0"/>
    <w:rsid w:val="00062BBB"/>
    <w:rsid w:val="00065283"/>
    <w:rsid w:val="000661B3"/>
    <w:rsid w:val="00066786"/>
    <w:rsid w:val="000678B2"/>
    <w:rsid w:val="0007064D"/>
    <w:rsid w:val="00071A24"/>
    <w:rsid w:val="000725FC"/>
    <w:rsid w:val="0007283B"/>
    <w:rsid w:val="00072D2D"/>
    <w:rsid w:val="000731D5"/>
    <w:rsid w:val="00075167"/>
    <w:rsid w:val="0007561C"/>
    <w:rsid w:val="00076CEC"/>
    <w:rsid w:val="0008155C"/>
    <w:rsid w:val="00082006"/>
    <w:rsid w:val="0008331D"/>
    <w:rsid w:val="00084E40"/>
    <w:rsid w:val="000850E7"/>
    <w:rsid w:val="00085EF2"/>
    <w:rsid w:val="000860EA"/>
    <w:rsid w:val="00087D3A"/>
    <w:rsid w:val="00090562"/>
    <w:rsid w:val="00090B19"/>
    <w:rsid w:val="00091684"/>
    <w:rsid w:val="00092601"/>
    <w:rsid w:val="00094110"/>
    <w:rsid w:val="000946BC"/>
    <w:rsid w:val="00094E74"/>
    <w:rsid w:val="00097052"/>
    <w:rsid w:val="00097295"/>
    <w:rsid w:val="000974BE"/>
    <w:rsid w:val="00097B4E"/>
    <w:rsid w:val="00097C48"/>
    <w:rsid w:val="000A0179"/>
    <w:rsid w:val="000A0378"/>
    <w:rsid w:val="000A0643"/>
    <w:rsid w:val="000A066D"/>
    <w:rsid w:val="000A0ADC"/>
    <w:rsid w:val="000A1B0D"/>
    <w:rsid w:val="000A1C81"/>
    <w:rsid w:val="000A24FE"/>
    <w:rsid w:val="000A2A65"/>
    <w:rsid w:val="000A2DCF"/>
    <w:rsid w:val="000A30C8"/>
    <w:rsid w:val="000A375F"/>
    <w:rsid w:val="000A5568"/>
    <w:rsid w:val="000A5B6D"/>
    <w:rsid w:val="000A72AC"/>
    <w:rsid w:val="000A72C8"/>
    <w:rsid w:val="000B3184"/>
    <w:rsid w:val="000B6B6C"/>
    <w:rsid w:val="000B75DB"/>
    <w:rsid w:val="000C0A56"/>
    <w:rsid w:val="000C20E2"/>
    <w:rsid w:val="000C41DF"/>
    <w:rsid w:val="000C54F6"/>
    <w:rsid w:val="000D00DA"/>
    <w:rsid w:val="000D1B61"/>
    <w:rsid w:val="000D1BD8"/>
    <w:rsid w:val="000D33E7"/>
    <w:rsid w:val="000D3473"/>
    <w:rsid w:val="000D3AD3"/>
    <w:rsid w:val="000D3E25"/>
    <w:rsid w:val="000E0FD5"/>
    <w:rsid w:val="000E1732"/>
    <w:rsid w:val="000E266E"/>
    <w:rsid w:val="000E3698"/>
    <w:rsid w:val="000E37A2"/>
    <w:rsid w:val="000E3FE0"/>
    <w:rsid w:val="000E4D4E"/>
    <w:rsid w:val="000E70B6"/>
    <w:rsid w:val="000E79B2"/>
    <w:rsid w:val="000F0EA4"/>
    <w:rsid w:val="000F1AEC"/>
    <w:rsid w:val="000F5670"/>
    <w:rsid w:val="000F5BD4"/>
    <w:rsid w:val="000F63E1"/>
    <w:rsid w:val="000F6B06"/>
    <w:rsid w:val="000F769D"/>
    <w:rsid w:val="00102F7A"/>
    <w:rsid w:val="0010321A"/>
    <w:rsid w:val="0010345E"/>
    <w:rsid w:val="00106F26"/>
    <w:rsid w:val="00107C91"/>
    <w:rsid w:val="00110E4C"/>
    <w:rsid w:val="001118A9"/>
    <w:rsid w:val="00113F97"/>
    <w:rsid w:val="00115EB2"/>
    <w:rsid w:val="00116C65"/>
    <w:rsid w:val="00117B0B"/>
    <w:rsid w:val="001228C2"/>
    <w:rsid w:val="00122A57"/>
    <w:rsid w:val="00122F48"/>
    <w:rsid w:val="00125709"/>
    <w:rsid w:val="00126CDF"/>
    <w:rsid w:val="00127674"/>
    <w:rsid w:val="00130147"/>
    <w:rsid w:val="001307E6"/>
    <w:rsid w:val="00131216"/>
    <w:rsid w:val="001313A6"/>
    <w:rsid w:val="00131C96"/>
    <w:rsid w:val="00131E8A"/>
    <w:rsid w:val="001324A5"/>
    <w:rsid w:val="001334B1"/>
    <w:rsid w:val="00135717"/>
    <w:rsid w:val="0013593D"/>
    <w:rsid w:val="00136596"/>
    <w:rsid w:val="00136618"/>
    <w:rsid w:val="00140325"/>
    <w:rsid w:val="00141007"/>
    <w:rsid w:val="00141678"/>
    <w:rsid w:val="00143804"/>
    <w:rsid w:val="001444C9"/>
    <w:rsid w:val="001447C8"/>
    <w:rsid w:val="0014486E"/>
    <w:rsid w:val="001470F0"/>
    <w:rsid w:val="001505D9"/>
    <w:rsid w:val="00150802"/>
    <w:rsid w:val="00150CB6"/>
    <w:rsid w:val="00152186"/>
    <w:rsid w:val="0015334B"/>
    <w:rsid w:val="00154FEE"/>
    <w:rsid w:val="00155D67"/>
    <w:rsid w:val="00157E64"/>
    <w:rsid w:val="001603D9"/>
    <w:rsid w:val="001607E3"/>
    <w:rsid w:val="00161397"/>
    <w:rsid w:val="00162140"/>
    <w:rsid w:val="001637EE"/>
    <w:rsid w:val="001638AD"/>
    <w:rsid w:val="00164909"/>
    <w:rsid w:val="00165580"/>
    <w:rsid w:val="00166326"/>
    <w:rsid w:val="00166EE3"/>
    <w:rsid w:val="00167482"/>
    <w:rsid w:val="00170043"/>
    <w:rsid w:val="00170AEA"/>
    <w:rsid w:val="00173270"/>
    <w:rsid w:val="001740FF"/>
    <w:rsid w:val="001741BD"/>
    <w:rsid w:val="00175ACC"/>
    <w:rsid w:val="00177D8E"/>
    <w:rsid w:val="00182135"/>
    <w:rsid w:val="001827E3"/>
    <w:rsid w:val="001830A5"/>
    <w:rsid w:val="00186E1E"/>
    <w:rsid w:val="001878F9"/>
    <w:rsid w:val="00187E25"/>
    <w:rsid w:val="00190ABF"/>
    <w:rsid w:val="00191908"/>
    <w:rsid w:val="001925FE"/>
    <w:rsid w:val="00192816"/>
    <w:rsid w:val="001955D7"/>
    <w:rsid w:val="00196BEB"/>
    <w:rsid w:val="001A3662"/>
    <w:rsid w:val="001A3747"/>
    <w:rsid w:val="001A4485"/>
    <w:rsid w:val="001A4B18"/>
    <w:rsid w:val="001A516D"/>
    <w:rsid w:val="001A57C6"/>
    <w:rsid w:val="001A5C04"/>
    <w:rsid w:val="001A6378"/>
    <w:rsid w:val="001A6FDD"/>
    <w:rsid w:val="001B0006"/>
    <w:rsid w:val="001B0489"/>
    <w:rsid w:val="001B1716"/>
    <w:rsid w:val="001B208E"/>
    <w:rsid w:val="001B2F4C"/>
    <w:rsid w:val="001B3AE2"/>
    <w:rsid w:val="001B654F"/>
    <w:rsid w:val="001B6709"/>
    <w:rsid w:val="001C07CB"/>
    <w:rsid w:val="001C1480"/>
    <w:rsid w:val="001C15D1"/>
    <w:rsid w:val="001C229E"/>
    <w:rsid w:val="001C49CC"/>
    <w:rsid w:val="001C6259"/>
    <w:rsid w:val="001C690F"/>
    <w:rsid w:val="001C6A1C"/>
    <w:rsid w:val="001C77B8"/>
    <w:rsid w:val="001C77F9"/>
    <w:rsid w:val="001C79A9"/>
    <w:rsid w:val="001C7D89"/>
    <w:rsid w:val="001D0D7D"/>
    <w:rsid w:val="001D158D"/>
    <w:rsid w:val="001D1B27"/>
    <w:rsid w:val="001D1E01"/>
    <w:rsid w:val="001D3901"/>
    <w:rsid w:val="001D3E91"/>
    <w:rsid w:val="001D43F5"/>
    <w:rsid w:val="001D5038"/>
    <w:rsid w:val="001D60FD"/>
    <w:rsid w:val="001E06C1"/>
    <w:rsid w:val="001E0D23"/>
    <w:rsid w:val="001E1DE9"/>
    <w:rsid w:val="001E20D6"/>
    <w:rsid w:val="001E221A"/>
    <w:rsid w:val="001E507B"/>
    <w:rsid w:val="001E7E40"/>
    <w:rsid w:val="001F0494"/>
    <w:rsid w:val="001F1151"/>
    <w:rsid w:val="001F2635"/>
    <w:rsid w:val="001F33A5"/>
    <w:rsid w:val="001F4A1F"/>
    <w:rsid w:val="001F50BA"/>
    <w:rsid w:val="001F74D4"/>
    <w:rsid w:val="002003B3"/>
    <w:rsid w:val="00202029"/>
    <w:rsid w:val="00202577"/>
    <w:rsid w:val="00203C61"/>
    <w:rsid w:val="00206FB5"/>
    <w:rsid w:val="00207F30"/>
    <w:rsid w:val="002118A9"/>
    <w:rsid w:val="002119BC"/>
    <w:rsid w:val="00213286"/>
    <w:rsid w:val="002146BF"/>
    <w:rsid w:val="00214A47"/>
    <w:rsid w:val="00214C44"/>
    <w:rsid w:val="00220AAF"/>
    <w:rsid w:val="00221B69"/>
    <w:rsid w:val="002237E2"/>
    <w:rsid w:val="00223A91"/>
    <w:rsid w:val="002265E7"/>
    <w:rsid w:val="00227279"/>
    <w:rsid w:val="00230C0B"/>
    <w:rsid w:val="0023110B"/>
    <w:rsid w:val="00232859"/>
    <w:rsid w:val="00232F26"/>
    <w:rsid w:val="00236016"/>
    <w:rsid w:val="002367DB"/>
    <w:rsid w:val="002369C9"/>
    <w:rsid w:val="00240885"/>
    <w:rsid w:val="00241FA2"/>
    <w:rsid w:val="00242439"/>
    <w:rsid w:val="0024342F"/>
    <w:rsid w:val="00243597"/>
    <w:rsid w:val="00243692"/>
    <w:rsid w:val="002462F2"/>
    <w:rsid w:val="00246BCF"/>
    <w:rsid w:val="00253B14"/>
    <w:rsid w:val="002568EE"/>
    <w:rsid w:val="00256F5A"/>
    <w:rsid w:val="002603C9"/>
    <w:rsid w:val="00261193"/>
    <w:rsid w:val="00261423"/>
    <w:rsid w:val="0026156D"/>
    <w:rsid w:val="00261867"/>
    <w:rsid w:val="002627EC"/>
    <w:rsid w:val="00263198"/>
    <w:rsid w:val="00271533"/>
    <w:rsid w:val="00274158"/>
    <w:rsid w:val="002745B8"/>
    <w:rsid w:val="0027470C"/>
    <w:rsid w:val="00274C1B"/>
    <w:rsid w:val="00274F5E"/>
    <w:rsid w:val="00275221"/>
    <w:rsid w:val="00276298"/>
    <w:rsid w:val="00277582"/>
    <w:rsid w:val="00280625"/>
    <w:rsid w:val="00283679"/>
    <w:rsid w:val="00284414"/>
    <w:rsid w:val="00285218"/>
    <w:rsid w:val="0029001B"/>
    <w:rsid w:val="0029067D"/>
    <w:rsid w:val="00290B97"/>
    <w:rsid w:val="0029207C"/>
    <w:rsid w:val="002921B9"/>
    <w:rsid w:val="00293049"/>
    <w:rsid w:val="00293B50"/>
    <w:rsid w:val="00293E0E"/>
    <w:rsid w:val="0029487F"/>
    <w:rsid w:val="00296583"/>
    <w:rsid w:val="00297BAC"/>
    <w:rsid w:val="002A04CA"/>
    <w:rsid w:val="002A0E2D"/>
    <w:rsid w:val="002A1C29"/>
    <w:rsid w:val="002A2ACF"/>
    <w:rsid w:val="002A314C"/>
    <w:rsid w:val="002A3CD5"/>
    <w:rsid w:val="002A45FF"/>
    <w:rsid w:val="002A4AC1"/>
    <w:rsid w:val="002A506A"/>
    <w:rsid w:val="002A7141"/>
    <w:rsid w:val="002A74E6"/>
    <w:rsid w:val="002B0857"/>
    <w:rsid w:val="002B091F"/>
    <w:rsid w:val="002B1575"/>
    <w:rsid w:val="002B1EBA"/>
    <w:rsid w:val="002B29D3"/>
    <w:rsid w:val="002B569D"/>
    <w:rsid w:val="002B7F0C"/>
    <w:rsid w:val="002C0517"/>
    <w:rsid w:val="002C09C0"/>
    <w:rsid w:val="002C0F7E"/>
    <w:rsid w:val="002C0F9E"/>
    <w:rsid w:val="002C4035"/>
    <w:rsid w:val="002C435D"/>
    <w:rsid w:val="002C4AFC"/>
    <w:rsid w:val="002C511D"/>
    <w:rsid w:val="002C5E1B"/>
    <w:rsid w:val="002C62F2"/>
    <w:rsid w:val="002C6D76"/>
    <w:rsid w:val="002D0B84"/>
    <w:rsid w:val="002D1E26"/>
    <w:rsid w:val="002D2C08"/>
    <w:rsid w:val="002D2E62"/>
    <w:rsid w:val="002D301E"/>
    <w:rsid w:val="002D3BAB"/>
    <w:rsid w:val="002D6477"/>
    <w:rsid w:val="002D6647"/>
    <w:rsid w:val="002D67CD"/>
    <w:rsid w:val="002D702A"/>
    <w:rsid w:val="002E045B"/>
    <w:rsid w:val="002E1C7C"/>
    <w:rsid w:val="002E2C76"/>
    <w:rsid w:val="002E2EDE"/>
    <w:rsid w:val="002E3A98"/>
    <w:rsid w:val="002E4F78"/>
    <w:rsid w:val="002E52BD"/>
    <w:rsid w:val="002E5827"/>
    <w:rsid w:val="002E59BC"/>
    <w:rsid w:val="002E62D6"/>
    <w:rsid w:val="002F2E5F"/>
    <w:rsid w:val="002F3222"/>
    <w:rsid w:val="002F505A"/>
    <w:rsid w:val="002F5925"/>
    <w:rsid w:val="002F6C72"/>
    <w:rsid w:val="003007C5"/>
    <w:rsid w:val="0030110E"/>
    <w:rsid w:val="0030309C"/>
    <w:rsid w:val="003048CA"/>
    <w:rsid w:val="00304D76"/>
    <w:rsid w:val="00305309"/>
    <w:rsid w:val="003079E6"/>
    <w:rsid w:val="00307CBE"/>
    <w:rsid w:val="00310525"/>
    <w:rsid w:val="00310FA1"/>
    <w:rsid w:val="0031153F"/>
    <w:rsid w:val="00312C3D"/>
    <w:rsid w:val="00313524"/>
    <w:rsid w:val="0031408B"/>
    <w:rsid w:val="00315CCE"/>
    <w:rsid w:val="003209C4"/>
    <w:rsid w:val="00321139"/>
    <w:rsid w:val="003218E4"/>
    <w:rsid w:val="00322156"/>
    <w:rsid w:val="0032254F"/>
    <w:rsid w:val="00322836"/>
    <w:rsid w:val="00323684"/>
    <w:rsid w:val="003236A2"/>
    <w:rsid w:val="003242D4"/>
    <w:rsid w:val="003259B3"/>
    <w:rsid w:val="00327038"/>
    <w:rsid w:val="0032765C"/>
    <w:rsid w:val="003312A2"/>
    <w:rsid w:val="00332C02"/>
    <w:rsid w:val="00333A25"/>
    <w:rsid w:val="00333DC2"/>
    <w:rsid w:val="0033413C"/>
    <w:rsid w:val="00334BFC"/>
    <w:rsid w:val="00334C72"/>
    <w:rsid w:val="00335E34"/>
    <w:rsid w:val="003375EE"/>
    <w:rsid w:val="00337D36"/>
    <w:rsid w:val="00340C68"/>
    <w:rsid w:val="00341931"/>
    <w:rsid w:val="00341DC7"/>
    <w:rsid w:val="00342FE8"/>
    <w:rsid w:val="003439B8"/>
    <w:rsid w:val="00343D41"/>
    <w:rsid w:val="00343EC3"/>
    <w:rsid w:val="0034515E"/>
    <w:rsid w:val="00345332"/>
    <w:rsid w:val="00346396"/>
    <w:rsid w:val="003465EB"/>
    <w:rsid w:val="00346985"/>
    <w:rsid w:val="00347AAD"/>
    <w:rsid w:val="003509C8"/>
    <w:rsid w:val="003523A4"/>
    <w:rsid w:val="003531F8"/>
    <w:rsid w:val="0035320A"/>
    <w:rsid w:val="0035397A"/>
    <w:rsid w:val="003548BE"/>
    <w:rsid w:val="00354A55"/>
    <w:rsid w:val="00355BD5"/>
    <w:rsid w:val="00360752"/>
    <w:rsid w:val="0036173B"/>
    <w:rsid w:val="00361A0D"/>
    <w:rsid w:val="00361CDF"/>
    <w:rsid w:val="0036224B"/>
    <w:rsid w:val="00362740"/>
    <w:rsid w:val="00364A32"/>
    <w:rsid w:val="00365B63"/>
    <w:rsid w:val="00365F2A"/>
    <w:rsid w:val="00370F96"/>
    <w:rsid w:val="00371826"/>
    <w:rsid w:val="00373549"/>
    <w:rsid w:val="00374970"/>
    <w:rsid w:val="00375465"/>
    <w:rsid w:val="00375C84"/>
    <w:rsid w:val="003766A7"/>
    <w:rsid w:val="00376A96"/>
    <w:rsid w:val="00381831"/>
    <w:rsid w:val="00382127"/>
    <w:rsid w:val="003827E5"/>
    <w:rsid w:val="00383418"/>
    <w:rsid w:val="00384AAE"/>
    <w:rsid w:val="00385677"/>
    <w:rsid w:val="00385AF9"/>
    <w:rsid w:val="00386936"/>
    <w:rsid w:val="00387774"/>
    <w:rsid w:val="00390EF1"/>
    <w:rsid w:val="00391CC5"/>
    <w:rsid w:val="003924D7"/>
    <w:rsid w:val="003926A5"/>
    <w:rsid w:val="003942BB"/>
    <w:rsid w:val="003948C1"/>
    <w:rsid w:val="00394B51"/>
    <w:rsid w:val="003971E5"/>
    <w:rsid w:val="003A0C69"/>
    <w:rsid w:val="003A0D35"/>
    <w:rsid w:val="003A2198"/>
    <w:rsid w:val="003A2892"/>
    <w:rsid w:val="003A4240"/>
    <w:rsid w:val="003A4322"/>
    <w:rsid w:val="003A4AC9"/>
    <w:rsid w:val="003A7170"/>
    <w:rsid w:val="003A7318"/>
    <w:rsid w:val="003B14BB"/>
    <w:rsid w:val="003B2CD3"/>
    <w:rsid w:val="003B3181"/>
    <w:rsid w:val="003B365A"/>
    <w:rsid w:val="003B424D"/>
    <w:rsid w:val="003B5332"/>
    <w:rsid w:val="003B61C8"/>
    <w:rsid w:val="003B6585"/>
    <w:rsid w:val="003C3DFA"/>
    <w:rsid w:val="003C4FFD"/>
    <w:rsid w:val="003C5FD4"/>
    <w:rsid w:val="003C752B"/>
    <w:rsid w:val="003C7DD1"/>
    <w:rsid w:val="003D067E"/>
    <w:rsid w:val="003D08EB"/>
    <w:rsid w:val="003D15F4"/>
    <w:rsid w:val="003D1C64"/>
    <w:rsid w:val="003D2802"/>
    <w:rsid w:val="003D3B1B"/>
    <w:rsid w:val="003D4914"/>
    <w:rsid w:val="003D7B55"/>
    <w:rsid w:val="003E071B"/>
    <w:rsid w:val="003E1255"/>
    <w:rsid w:val="003E1BD2"/>
    <w:rsid w:val="003E3155"/>
    <w:rsid w:val="003E3B50"/>
    <w:rsid w:val="003E4789"/>
    <w:rsid w:val="003E52B3"/>
    <w:rsid w:val="003E5694"/>
    <w:rsid w:val="003E6137"/>
    <w:rsid w:val="003E6FCB"/>
    <w:rsid w:val="003E786F"/>
    <w:rsid w:val="003E7BF8"/>
    <w:rsid w:val="003F0887"/>
    <w:rsid w:val="003F179C"/>
    <w:rsid w:val="003F1CCD"/>
    <w:rsid w:val="003F2446"/>
    <w:rsid w:val="003F356E"/>
    <w:rsid w:val="003F56B1"/>
    <w:rsid w:val="003F6A51"/>
    <w:rsid w:val="003F7176"/>
    <w:rsid w:val="00402272"/>
    <w:rsid w:val="00402339"/>
    <w:rsid w:val="0040517F"/>
    <w:rsid w:val="0040586D"/>
    <w:rsid w:val="00406360"/>
    <w:rsid w:val="00406D26"/>
    <w:rsid w:val="00407095"/>
    <w:rsid w:val="0040782C"/>
    <w:rsid w:val="00407A2D"/>
    <w:rsid w:val="004112FC"/>
    <w:rsid w:val="0041141D"/>
    <w:rsid w:val="004125BF"/>
    <w:rsid w:val="00413716"/>
    <w:rsid w:val="00413761"/>
    <w:rsid w:val="00413D42"/>
    <w:rsid w:val="00413D6B"/>
    <w:rsid w:val="00414035"/>
    <w:rsid w:val="00414A60"/>
    <w:rsid w:val="004154FA"/>
    <w:rsid w:val="00415FF7"/>
    <w:rsid w:val="00416D2C"/>
    <w:rsid w:val="0042152C"/>
    <w:rsid w:val="00421E02"/>
    <w:rsid w:val="00422A7E"/>
    <w:rsid w:val="00424D92"/>
    <w:rsid w:val="00425725"/>
    <w:rsid w:val="00426362"/>
    <w:rsid w:val="00426380"/>
    <w:rsid w:val="00426955"/>
    <w:rsid w:val="00426B24"/>
    <w:rsid w:val="0043265A"/>
    <w:rsid w:val="00433FF6"/>
    <w:rsid w:val="0043485B"/>
    <w:rsid w:val="00434965"/>
    <w:rsid w:val="004349CD"/>
    <w:rsid w:val="00435F33"/>
    <w:rsid w:val="00436A97"/>
    <w:rsid w:val="004370D9"/>
    <w:rsid w:val="004379C5"/>
    <w:rsid w:val="004416BD"/>
    <w:rsid w:val="0044215B"/>
    <w:rsid w:val="00443679"/>
    <w:rsid w:val="004441CB"/>
    <w:rsid w:val="00444539"/>
    <w:rsid w:val="00445CFB"/>
    <w:rsid w:val="00446276"/>
    <w:rsid w:val="00447090"/>
    <w:rsid w:val="00447A34"/>
    <w:rsid w:val="004513E8"/>
    <w:rsid w:val="00453342"/>
    <w:rsid w:val="00455C76"/>
    <w:rsid w:val="00455F53"/>
    <w:rsid w:val="0045731C"/>
    <w:rsid w:val="004610C5"/>
    <w:rsid w:val="00463366"/>
    <w:rsid w:val="00463830"/>
    <w:rsid w:val="00463873"/>
    <w:rsid w:val="00463EA0"/>
    <w:rsid w:val="0046460D"/>
    <w:rsid w:val="00464DBF"/>
    <w:rsid w:val="00467358"/>
    <w:rsid w:val="00467755"/>
    <w:rsid w:val="0046781D"/>
    <w:rsid w:val="004708F2"/>
    <w:rsid w:val="00471251"/>
    <w:rsid w:val="004720BD"/>
    <w:rsid w:val="00472B7F"/>
    <w:rsid w:val="00473DC5"/>
    <w:rsid w:val="004742B3"/>
    <w:rsid w:val="004756A7"/>
    <w:rsid w:val="0048011E"/>
    <w:rsid w:val="00480CE9"/>
    <w:rsid w:val="00482081"/>
    <w:rsid w:val="00483217"/>
    <w:rsid w:val="00483A19"/>
    <w:rsid w:val="00483D1F"/>
    <w:rsid w:val="00483E86"/>
    <w:rsid w:val="00485F22"/>
    <w:rsid w:val="0048771F"/>
    <w:rsid w:val="00487810"/>
    <w:rsid w:val="00492709"/>
    <w:rsid w:val="00493C87"/>
    <w:rsid w:val="004947CC"/>
    <w:rsid w:val="004947F5"/>
    <w:rsid w:val="00494D3A"/>
    <w:rsid w:val="004950AF"/>
    <w:rsid w:val="0049588B"/>
    <w:rsid w:val="00495D31"/>
    <w:rsid w:val="00496239"/>
    <w:rsid w:val="00497E47"/>
    <w:rsid w:val="004A0D36"/>
    <w:rsid w:val="004A22D9"/>
    <w:rsid w:val="004A2B8D"/>
    <w:rsid w:val="004A3702"/>
    <w:rsid w:val="004A4881"/>
    <w:rsid w:val="004A49FB"/>
    <w:rsid w:val="004A5062"/>
    <w:rsid w:val="004A77AB"/>
    <w:rsid w:val="004B0060"/>
    <w:rsid w:val="004B1B05"/>
    <w:rsid w:val="004B2E4A"/>
    <w:rsid w:val="004B360B"/>
    <w:rsid w:val="004B3AFE"/>
    <w:rsid w:val="004B3DA3"/>
    <w:rsid w:val="004B6597"/>
    <w:rsid w:val="004B7E92"/>
    <w:rsid w:val="004C3B9C"/>
    <w:rsid w:val="004C4196"/>
    <w:rsid w:val="004C6E77"/>
    <w:rsid w:val="004C764D"/>
    <w:rsid w:val="004D1DAA"/>
    <w:rsid w:val="004D40FD"/>
    <w:rsid w:val="004E0F48"/>
    <w:rsid w:val="004E2555"/>
    <w:rsid w:val="004E4863"/>
    <w:rsid w:val="004E5DBE"/>
    <w:rsid w:val="004E7D73"/>
    <w:rsid w:val="004F0C67"/>
    <w:rsid w:val="004F3433"/>
    <w:rsid w:val="004F5326"/>
    <w:rsid w:val="00500627"/>
    <w:rsid w:val="00501458"/>
    <w:rsid w:val="00501A86"/>
    <w:rsid w:val="00501EDC"/>
    <w:rsid w:val="0050269B"/>
    <w:rsid w:val="00502F77"/>
    <w:rsid w:val="0050362A"/>
    <w:rsid w:val="0050537A"/>
    <w:rsid w:val="005058CC"/>
    <w:rsid w:val="005075D8"/>
    <w:rsid w:val="00507CD8"/>
    <w:rsid w:val="005109D7"/>
    <w:rsid w:val="00511358"/>
    <w:rsid w:val="00515305"/>
    <w:rsid w:val="00517740"/>
    <w:rsid w:val="00520CC1"/>
    <w:rsid w:val="00520FDA"/>
    <w:rsid w:val="005218D6"/>
    <w:rsid w:val="00522073"/>
    <w:rsid w:val="00524D19"/>
    <w:rsid w:val="00525524"/>
    <w:rsid w:val="00527593"/>
    <w:rsid w:val="00530078"/>
    <w:rsid w:val="00530DB0"/>
    <w:rsid w:val="00532CA9"/>
    <w:rsid w:val="00536ADA"/>
    <w:rsid w:val="0053796B"/>
    <w:rsid w:val="00540C96"/>
    <w:rsid w:val="00542F28"/>
    <w:rsid w:val="0054379B"/>
    <w:rsid w:val="00544DED"/>
    <w:rsid w:val="00546206"/>
    <w:rsid w:val="00546289"/>
    <w:rsid w:val="00546551"/>
    <w:rsid w:val="005465A6"/>
    <w:rsid w:val="00551149"/>
    <w:rsid w:val="005516FA"/>
    <w:rsid w:val="005518E8"/>
    <w:rsid w:val="0055207C"/>
    <w:rsid w:val="00554578"/>
    <w:rsid w:val="005551C5"/>
    <w:rsid w:val="00555A99"/>
    <w:rsid w:val="00556187"/>
    <w:rsid w:val="00557CB4"/>
    <w:rsid w:val="00560479"/>
    <w:rsid w:val="00561531"/>
    <w:rsid w:val="00566612"/>
    <w:rsid w:val="00566D9C"/>
    <w:rsid w:val="00567785"/>
    <w:rsid w:val="005700AA"/>
    <w:rsid w:val="00570A16"/>
    <w:rsid w:val="0057147E"/>
    <w:rsid w:val="005727DE"/>
    <w:rsid w:val="00573135"/>
    <w:rsid w:val="00574A34"/>
    <w:rsid w:val="00574C49"/>
    <w:rsid w:val="00576AC9"/>
    <w:rsid w:val="00577472"/>
    <w:rsid w:val="0057766A"/>
    <w:rsid w:val="00580DD8"/>
    <w:rsid w:val="00584FFE"/>
    <w:rsid w:val="00585129"/>
    <w:rsid w:val="00586F05"/>
    <w:rsid w:val="00587293"/>
    <w:rsid w:val="005872E3"/>
    <w:rsid w:val="005872EA"/>
    <w:rsid w:val="00590B4D"/>
    <w:rsid w:val="00591A6B"/>
    <w:rsid w:val="00594105"/>
    <w:rsid w:val="005953BC"/>
    <w:rsid w:val="0059662F"/>
    <w:rsid w:val="00597327"/>
    <w:rsid w:val="00597EDE"/>
    <w:rsid w:val="005A0B07"/>
    <w:rsid w:val="005A16EE"/>
    <w:rsid w:val="005A2918"/>
    <w:rsid w:val="005A4937"/>
    <w:rsid w:val="005A4BAA"/>
    <w:rsid w:val="005A7264"/>
    <w:rsid w:val="005A7D4C"/>
    <w:rsid w:val="005B0A2B"/>
    <w:rsid w:val="005B101F"/>
    <w:rsid w:val="005B18F3"/>
    <w:rsid w:val="005B2F20"/>
    <w:rsid w:val="005B43D2"/>
    <w:rsid w:val="005B5147"/>
    <w:rsid w:val="005B5C66"/>
    <w:rsid w:val="005B5F5A"/>
    <w:rsid w:val="005B6242"/>
    <w:rsid w:val="005B7386"/>
    <w:rsid w:val="005C1782"/>
    <w:rsid w:val="005C2340"/>
    <w:rsid w:val="005C2EE7"/>
    <w:rsid w:val="005C3B63"/>
    <w:rsid w:val="005C3E19"/>
    <w:rsid w:val="005C4C35"/>
    <w:rsid w:val="005C4F1C"/>
    <w:rsid w:val="005C5B2E"/>
    <w:rsid w:val="005C774C"/>
    <w:rsid w:val="005D0506"/>
    <w:rsid w:val="005D12C8"/>
    <w:rsid w:val="005D3D4C"/>
    <w:rsid w:val="005D4AC9"/>
    <w:rsid w:val="005D4AD9"/>
    <w:rsid w:val="005D4E8E"/>
    <w:rsid w:val="005D67B7"/>
    <w:rsid w:val="005D6CEC"/>
    <w:rsid w:val="005E0757"/>
    <w:rsid w:val="005E12E6"/>
    <w:rsid w:val="005E3B57"/>
    <w:rsid w:val="005E4C4C"/>
    <w:rsid w:val="005E74B5"/>
    <w:rsid w:val="005E7645"/>
    <w:rsid w:val="005F09B5"/>
    <w:rsid w:val="005F0FEA"/>
    <w:rsid w:val="005F1C13"/>
    <w:rsid w:val="005F1EC9"/>
    <w:rsid w:val="005F2527"/>
    <w:rsid w:val="005F3B31"/>
    <w:rsid w:val="005F5042"/>
    <w:rsid w:val="005F5DC9"/>
    <w:rsid w:val="005F6CE5"/>
    <w:rsid w:val="005F6D95"/>
    <w:rsid w:val="005F7AE5"/>
    <w:rsid w:val="005F7D30"/>
    <w:rsid w:val="006014C1"/>
    <w:rsid w:val="00604215"/>
    <w:rsid w:val="00607443"/>
    <w:rsid w:val="00610098"/>
    <w:rsid w:val="006118CD"/>
    <w:rsid w:val="00611BCF"/>
    <w:rsid w:val="00611DB1"/>
    <w:rsid w:val="00613423"/>
    <w:rsid w:val="00613776"/>
    <w:rsid w:val="0061467C"/>
    <w:rsid w:val="0061641D"/>
    <w:rsid w:val="00616F2E"/>
    <w:rsid w:val="00617C12"/>
    <w:rsid w:val="006207C5"/>
    <w:rsid w:val="00620AB3"/>
    <w:rsid w:val="00622E75"/>
    <w:rsid w:val="00623805"/>
    <w:rsid w:val="00623DF3"/>
    <w:rsid w:val="006253D7"/>
    <w:rsid w:val="0062755A"/>
    <w:rsid w:val="0063010F"/>
    <w:rsid w:val="00630B9D"/>
    <w:rsid w:val="00630F8B"/>
    <w:rsid w:val="006320CE"/>
    <w:rsid w:val="006320DC"/>
    <w:rsid w:val="00632F57"/>
    <w:rsid w:val="00632F64"/>
    <w:rsid w:val="006330DE"/>
    <w:rsid w:val="0063388B"/>
    <w:rsid w:val="006346B0"/>
    <w:rsid w:val="006353C7"/>
    <w:rsid w:val="006360B8"/>
    <w:rsid w:val="00640A91"/>
    <w:rsid w:val="00641C6E"/>
    <w:rsid w:val="00641D97"/>
    <w:rsid w:val="00642365"/>
    <w:rsid w:val="006426A8"/>
    <w:rsid w:val="00644A8D"/>
    <w:rsid w:val="00646124"/>
    <w:rsid w:val="0064633A"/>
    <w:rsid w:val="00647B77"/>
    <w:rsid w:val="00651882"/>
    <w:rsid w:val="00651F79"/>
    <w:rsid w:val="00652F0F"/>
    <w:rsid w:val="00653281"/>
    <w:rsid w:val="00655D73"/>
    <w:rsid w:val="0065731E"/>
    <w:rsid w:val="0066042E"/>
    <w:rsid w:val="006604FA"/>
    <w:rsid w:val="00667D59"/>
    <w:rsid w:val="006701DD"/>
    <w:rsid w:val="006708E6"/>
    <w:rsid w:val="006719DF"/>
    <w:rsid w:val="006733A2"/>
    <w:rsid w:val="00675852"/>
    <w:rsid w:val="0067596C"/>
    <w:rsid w:val="00675FED"/>
    <w:rsid w:val="006768C0"/>
    <w:rsid w:val="00677EF7"/>
    <w:rsid w:val="006808FA"/>
    <w:rsid w:val="00681700"/>
    <w:rsid w:val="00682880"/>
    <w:rsid w:val="006832FB"/>
    <w:rsid w:val="006836AF"/>
    <w:rsid w:val="006846F0"/>
    <w:rsid w:val="00685298"/>
    <w:rsid w:val="00687806"/>
    <w:rsid w:val="00687A9B"/>
    <w:rsid w:val="006902DB"/>
    <w:rsid w:val="006902F2"/>
    <w:rsid w:val="00690827"/>
    <w:rsid w:val="00691840"/>
    <w:rsid w:val="00693488"/>
    <w:rsid w:val="00694099"/>
    <w:rsid w:val="00695198"/>
    <w:rsid w:val="006A123E"/>
    <w:rsid w:val="006A1A84"/>
    <w:rsid w:val="006A3C18"/>
    <w:rsid w:val="006A456D"/>
    <w:rsid w:val="006A5AA0"/>
    <w:rsid w:val="006A7BA2"/>
    <w:rsid w:val="006A7FC8"/>
    <w:rsid w:val="006B0122"/>
    <w:rsid w:val="006B0830"/>
    <w:rsid w:val="006B2F78"/>
    <w:rsid w:val="006B5319"/>
    <w:rsid w:val="006B5EF4"/>
    <w:rsid w:val="006B6EDF"/>
    <w:rsid w:val="006C3DF4"/>
    <w:rsid w:val="006C5006"/>
    <w:rsid w:val="006C583E"/>
    <w:rsid w:val="006C5CC5"/>
    <w:rsid w:val="006C60E2"/>
    <w:rsid w:val="006D0247"/>
    <w:rsid w:val="006D2671"/>
    <w:rsid w:val="006D296D"/>
    <w:rsid w:val="006D6ABD"/>
    <w:rsid w:val="006D75A7"/>
    <w:rsid w:val="006E18FC"/>
    <w:rsid w:val="006E1EEB"/>
    <w:rsid w:val="006E3904"/>
    <w:rsid w:val="006E3B09"/>
    <w:rsid w:val="006E3E63"/>
    <w:rsid w:val="006E46F7"/>
    <w:rsid w:val="006E48B0"/>
    <w:rsid w:val="006E4BA0"/>
    <w:rsid w:val="006E56E3"/>
    <w:rsid w:val="006E647A"/>
    <w:rsid w:val="006E782C"/>
    <w:rsid w:val="006E7971"/>
    <w:rsid w:val="006F01E5"/>
    <w:rsid w:val="006F17BC"/>
    <w:rsid w:val="006F244A"/>
    <w:rsid w:val="006F2943"/>
    <w:rsid w:val="006F3508"/>
    <w:rsid w:val="006F3D77"/>
    <w:rsid w:val="006F455E"/>
    <w:rsid w:val="006F49C5"/>
    <w:rsid w:val="006F50A4"/>
    <w:rsid w:val="006F672F"/>
    <w:rsid w:val="006F6F35"/>
    <w:rsid w:val="006F7281"/>
    <w:rsid w:val="006F74A9"/>
    <w:rsid w:val="00700205"/>
    <w:rsid w:val="00701DD1"/>
    <w:rsid w:val="0070260A"/>
    <w:rsid w:val="007039E4"/>
    <w:rsid w:val="00703DB3"/>
    <w:rsid w:val="0070777F"/>
    <w:rsid w:val="00707B53"/>
    <w:rsid w:val="0071117A"/>
    <w:rsid w:val="00712388"/>
    <w:rsid w:val="00715E2C"/>
    <w:rsid w:val="00720F94"/>
    <w:rsid w:val="0072105D"/>
    <w:rsid w:val="00723CCC"/>
    <w:rsid w:val="00723E5A"/>
    <w:rsid w:val="007245DD"/>
    <w:rsid w:val="00724736"/>
    <w:rsid w:val="00725707"/>
    <w:rsid w:val="00725BD7"/>
    <w:rsid w:val="00726B0A"/>
    <w:rsid w:val="00727190"/>
    <w:rsid w:val="0073012B"/>
    <w:rsid w:val="00732194"/>
    <w:rsid w:val="00732D27"/>
    <w:rsid w:val="00733E14"/>
    <w:rsid w:val="00734F1D"/>
    <w:rsid w:val="00734F96"/>
    <w:rsid w:val="00736022"/>
    <w:rsid w:val="00737E87"/>
    <w:rsid w:val="00740682"/>
    <w:rsid w:val="00741477"/>
    <w:rsid w:val="007415B1"/>
    <w:rsid w:val="00741811"/>
    <w:rsid w:val="00741918"/>
    <w:rsid w:val="00743A76"/>
    <w:rsid w:val="00743B40"/>
    <w:rsid w:val="00743E03"/>
    <w:rsid w:val="0074406B"/>
    <w:rsid w:val="00745EAB"/>
    <w:rsid w:val="00746A5E"/>
    <w:rsid w:val="007530BC"/>
    <w:rsid w:val="00754BA6"/>
    <w:rsid w:val="00754F08"/>
    <w:rsid w:val="00756D82"/>
    <w:rsid w:val="007574B5"/>
    <w:rsid w:val="00763569"/>
    <w:rsid w:val="00764328"/>
    <w:rsid w:val="0076434B"/>
    <w:rsid w:val="00764C7D"/>
    <w:rsid w:val="00765EBC"/>
    <w:rsid w:val="00766AE2"/>
    <w:rsid w:val="0076779B"/>
    <w:rsid w:val="0076789B"/>
    <w:rsid w:val="00770C66"/>
    <w:rsid w:val="00772518"/>
    <w:rsid w:val="007739B5"/>
    <w:rsid w:val="00777908"/>
    <w:rsid w:val="00781060"/>
    <w:rsid w:val="00781734"/>
    <w:rsid w:val="00782643"/>
    <w:rsid w:val="00782F59"/>
    <w:rsid w:val="00783D03"/>
    <w:rsid w:val="007842F9"/>
    <w:rsid w:val="0078636E"/>
    <w:rsid w:val="007875CC"/>
    <w:rsid w:val="007878E5"/>
    <w:rsid w:val="00787BD7"/>
    <w:rsid w:val="0079038E"/>
    <w:rsid w:val="00792511"/>
    <w:rsid w:val="00793D3E"/>
    <w:rsid w:val="00794680"/>
    <w:rsid w:val="00796528"/>
    <w:rsid w:val="00797C7C"/>
    <w:rsid w:val="007A0407"/>
    <w:rsid w:val="007A2C7B"/>
    <w:rsid w:val="007A3E01"/>
    <w:rsid w:val="007A44C7"/>
    <w:rsid w:val="007A487C"/>
    <w:rsid w:val="007A6EF9"/>
    <w:rsid w:val="007A737C"/>
    <w:rsid w:val="007A7E45"/>
    <w:rsid w:val="007A7E61"/>
    <w:rsid w:val="007B1121"/>
    <w:rsid w:val="007B3C43"/>
    <w:rsid w:val="007B459F"/>
    <w:rsid w:val="007B45AA"/>
    <w:rsid w:val="007B4DC3"/>
    <w:rsid w:val="007B5FDA"/>
    <w:rsid w:val="007B6D1C"/>
    <w:rsid w:val="007B6D8A"/>
    <w:rsid w:val="007B7BF6"/>
    <w:rsid w:val="007C097B"/>
    <w:rsid w:val="007C2DA0"/>
    <w:rsid w:val="007C3280"/>
    <w:rsid w:val="007C32F0"/>
    <w:rsid w:val="007C3AF8"/>
    <w:rsid w:val="007C51C4"/>
    <w:rsid w:val="007C7449"/>
    <w:rsid w:val="007C7453"/>
    <w:rsid w:val="007C78C0"/>
    <w:rsid w:val="007D0246"/>
    <w:rsid w:val="007D031C"/>
    <w:rsid w:val="007D0CCE"/>
    <w:rsid w:val="007D0DB6"/>
    <w:rsid w:val="007D255D"/>
    <w:rsid w:val="007D2E6D"/>
    <w:rsid w:val="007D2F47"/>
    <w:rsid w:val="007D307D"/>
    <w:rsid w:val="007D3844"/>
    <w:rsid w:val="007D3AA6"/>
    <w:rsid w:val="007D3DA1"/>
    <w:rsid w:val="007D4F5D"/>
    <w:rsid w:val="007D5E71"/>
    <w:rsid w:val="007D684D"/>
    <w:rsid w:val="007D6F79"/>
    <w:rsid w:val="007D7A25"/>
    <w:rsid w:val="007E05D4"/>
    <w:rsid w:val="007E0A21"/>
    <w:rsid w:val="007E0E35"/>
    <w:rsid w:val="007E1566"/>
    <w:rsid w:val="007E2A02"/>
    <w:rsid w:val="007E3873"/>
    <w:rsid w:val="007E3C87"/>
    <w:rsid w:val="007E40A1"/>
    <w:rsid w:val="007E44C7"/>
    <w:rsid w:val="007E46F1"/>
    <w:rsid w:val="007E5D22"/>
    <w:rsid w:val="007E6A3F"/>
    <w:rsid w:val="007E6AF2"/>
    <w:rsid w:val="007F3555"/>
    <w:rsid w:val="007F4127"/>
    <w:rsid w:val="007F4842"/>
    <w:rsid w:val="007F545B"/>
    <w:rsid w:val="007F7207"/>
    <w:rsid w:val="008001E7"/>
    <w:rsid w:val="00800BE7"/>
    <w:rsid w:val="0080514D"/>
    <w:rsid w:val="00805968"/>
    <w:rsid w:val="008063A9"/>
    <w:rsid w:val="00811056"/>
    <w:rsid w:val="00811453"/>
    <w:rsid w:val="00813DCB"/>
    <w:rsid w:val="00814106"/>
    <w:rsid w:val="00814449"/>
    <w:rsid w:val="00814AE4"/>
    <w:rsid w:val="0081501A"/>
    <w:rsid w:val="008155C5"/>
    <w:rsid w:val="008156D1"/>
    <w:rsid w:val="00816061"/>
    <w:rsid w:val="00816B19"/>
    <w:rsid w:val="00817FBB"/>
    <w:rsid w:val="008214AA"/>
    <w:rsid w:val="00822076"/>
    <w:rsid w:val="00826316"/>
    <w:rsid w:val="00826BCC"/>
    <w:rsid w:val="00826CEC"/>
    <w:rsid w:val="0082793A"/>
    <w:rsid w:val="00827C35"/>
    <w:rsid w:val="00827EE0"/>
    <w:rsid w:val="0083142E"/>
    <w:rsid w:val="008316CE"/>
    <w:rsid w:val="00832034"/>
    <w:rsid w:val="0083212C"/>
    <w:rsid w:val="00834CA4"/>
    <w:rsid w:val="008351D9"/>
    <w:rsid w:val="008354F2"/>
    <w:rsid w:val="00836002"/>
    <w:rsid w:val="00836068"/>
    <w:rsid w:val="00837364"/>
    <w:rsid w:val="0083777F"/>
    <w:rsid w:val="00842597"/>
    <w:rsid w:val="00842C96"/>
    <w:rsid w:val="008452A6"/>
    <w:rsid w:val="00845A8E"/>
    <w:rsid w:val="008464D4"/>
    <w:rsid w:val="0084700A"/>
    <w:rsid w:val="008509E2"/>
    <w:rsid w:val="00851874"/>
    <w:rsid w:val="0085399A"/>
    <w:rsid w:val="00853A89"/>
    <w:rsid w:val="0085553A"/>
    <w:rsid w:val="00855688"/>
    <w:rsid w:val="00857CCA"/>
    <w:rsid w:val="00860BC9"/>
    <w:rsid w:val="00860E85"/>
    <w:rsid w:val="0086105F"/>
    <w:rsid w:val="00861F5C"/>
    <w:rsid w:val="00862E89"/>
    <w:rsid w:val="008658E4"/>
    <w:rsid w:val="0086658E"/>
    <w:rsid w:val="008668B2"/>
    <w:rsid w:val="00867B0E"/>
    <w:rsid w:val="0087113E"/>
    <w:rsid w:val="00871638"/>
    <w:rsid w:val="0087216C"/>
    <w:rsid w:val="0087365F"/>
    <w:rsid w:val="00877946"/>
    <w:rsid w:val="00883796"/>
    <w:rsid w:val="0088549E"/>
    <w:rsid w:val="00886281"/>
    <w:rsid w:val="008908FF"/>
    <w:rsid w:val="00890A4D"/>
    <w:rsid w:val="008928FB"/>
    <w:rsid w:val="00894F3F"/>
    <w:rsid w:val="0089658A"/>
    <w:rsid w:val="008A0373"/>
    <w:rsid w:val="008A0D21"/>
    <w:rsid w:val="008A46D5"/>
    <w:rsid w:val="008A54B7"/>
    <w:rsid w:val="008A7524"/>
    <w:rsid w:val="008B10E2"/>
    <w:rsid w:val="008B238A"/>
    <w:rsid w:val="008B30C0"/>
    <w:rsid w:val="008B375D"/>
    <w:rsid w:val="008B4310"/>
    <w:rsid w:val="008B4554"/>
    <w:rsid w:val="008B5F83"/>
    <w:rsid w:val="008B7020"/>
    <w:rsid w:val="008C0707"/>
    <w:rsid w:val="008C16C4"/>
    <w:rsid w:val="008C19EC"/>
    <w:rsid w:val="008C246C"/>
    <w:rsid w:val="008C27E5"/>
    <w:rsid w:val="008C2B8E"/>
    <w:rsid w:val="008C36CB"/>
    <w:rsid w:val="008C39D9"/>
    <w:rsid w:val="008C4079"/>
    <w:rsid w:val="008C767A"/>
    <w:rsid w:val="008C78DA"/>
    <w:rsid w:val="008D085B"/>
    <w:rsid w:val="008D0A2D"/>
    <w:rsid w:val="008D0FFE"/>
    <w:rsid w:val="008D18B6"/>
    <w:rsid w:val="008D2AFD"/>
    <w:rsid w:val="008D3B91"/>
    <w:rsid w:val="008D56FD"/>
    <w:rsid w:val="008D5C4C"/>
    <w:rsid w:val="008D6ECD"/>
    <w:rsid w:val="008D7654"/>
    <w:rsid w:val="008E0302"/>
    <w:rsid w:val="008E1F39"/>
    <w:rsid w:val="008E3E0E"/>
    <w:rsid w:val="008E4E6A"/>
    <w:rsid w:val="008E5AF4"/>
    <w:rsid w:val="008E5E9E"/>
    <w:rsid w:val="008E66BB"/>
    <w:rsid w:val="008E6F66"/>
    <w:rsid w:val="008E77A9"/>
    <w:rsid w:val="008F0110"/>
    <w:rsid w:val="008F1272"/>
    <w:rsid w:val="008F1F52"/>
    <w:rsid w:val="008F4439"/>
    <w:rsid w:val="008F4B79"/>
    <w:rsid w:val="008F4BE9"/>
    <w:rsid w:val="008F5390"/>
    <w:rsid w:val="008F59DD"/>
    <w:rsid w:val="008F5C40"/>
    <w:rsid w:val="008F70D3"/>
    <w:rsid w:val="0090188C"/>
    <w:rsid w:val="00901AE2"/>
    <w:rsid w:val="00903C82"/>
    <w:rsid w:val="009047D0"/>
    <w:rsid w:val="00906B0A"/>
    <w:rsid w:val="00906C61"/>
    <w:rsid w:val="00907E62"/>
    <w:rsid w:val="0091095F"/>
    <w:rsid w:val="00911D5C"/>
    <w:rsid w:val="0091235C"/>
    <w:rsid w:val="009165FD"/>
    <w:rsid w:val="00916678"/>
    <w:rsid w:val="00917372"/>
    <w:rsid w:val="00920581"/>
    <w:rsid w:val="00923C36"/>
    <w:rsid w:val="009240A6"/>
    <w:rsid w:val="009247B6"/>
    <w:rsid w:val="00924F42"/>
    <w:rsid w:val="0092505A"/>
    <w:rsid w:val="0092653F"/>
    <w:rsid w:val="00926E6E"/>
    <w:rsid w:val="0092746C"/>
    <w:rsid w:val="009307AC"/>
    <w:rsid w:val="009310B3"/>
    <w:rsid w:val="009312AC"/>
    <w:rsid w:val="009328EC"/>
    <w:rsid w:val="00934D88"/>
    <w:rsid w:val="009354DA"/>
    <w:rsid w:val="0093554E"/>
    <w:rsid w:val="00935FE8"/>
    <w:rsid w:val="00936074"/>
    <w:rsid w:val="00937F41"/>
    <w:rsid w:val="00940B98"/>
    <w:rsid w:val="00942B82"/>
    <w:rsid w:val="00942D29"/>
    <w:rsid w:val="00942DE6"/>
    <w:rsid w:val="009435A7"/>
    <w:rsid w:val="00945227"/>
    <w:rsid w:val="009453CA"/>
    <w:rsid w:val="00945624"/>
    <w:rsid w:val="00945B49"/>
    <w:rsid w:val="00946322"/>
    <w:rsid w:val="00947726"/>
    <w:rsid w:val="00950998"/>
    <w:rsid w:val="00950A72"/>
    <w:rsid w:val="009514DE"/>
    <w:rsid w:val="009527B7"/>
    <w:rsid w:val="009541FD"/>
    <w:rsid w:val="0095444A"/>
    <w:rsid w:val="009544F8"/>
    <w:rsid w:val="00954690"/>
    <w:rsid w:val="00957031"/>
    <w:rsid w:val="00961547"/>
    <w:rsid w:val="00962F74"/>
    <w:rsid w:val="00963422"/>
    <w:rsid w:val="00963519"/>
    <w:rsid w:val="00963C3A"/>
    <w:rsid w:val="00964341"/>
    <w:rsid w:val="00964931"/>
    <w:rsid w:val="0096682F"/>
    <w:rsid w:val="00967A18"/>
    <w:rsid w:val="0097012B"/>
    <w:rsid w:val="009713DB"/>
    <w:rsid w:val="0097189C"/>
    <w:rsid w:val="009719F9"/>
    <w:rsid w:val="00971BE2"/>
    <w:rsid w:val="009724C4"/>
    <w:rsid w:val="00975019"/>
    <w:rsid w:val="009750B5"/>
    <w:rsid w:val="009769A4"/>
    <w:rsid w:val="00981294"/>
    <w:rsid w:val="00981685"/>
    <w:rsid w:val="009817F6"/>
    <w:rsid w:val="00982F72"/>
    <w:rsid w:val="00983183"/>
    <w:rsid w:val="0098561F"/>
    <w:rsid w:val="009870B3"/>
    <w:rsid w:val="00987A8B"/>
    <w:rsid w:val="009903CC"/>
    <w:rsid w:val="00990F9D"/>
    <w:rsid w:val="00991172"/>
    <w:rsid w:val="009946EE"/>
    <w:rsid w:val="00996472"/>
    <w:rsid w:val="009972F9"/>
    <w:rsid w:val="009A0C42"/>
    <w:rsid w:val="009A0CA9"/>
    <w:rsid w:val="009A1571"/>
    <w:rsid w:val="009A1B18"/>
    <w:rsid w:val="009A20B8"/>
    <w:rsid w:val="009A2393"/>
    <w:rsid w:val="009A24D1"/>
    <w:rsid w:val="009A31F5"/>
    <w:rsid w:val="009A3502"/>
    <w:rsid w:val="009A6299"/>
    <w:rsid w:val="009A6DB5"/>
    <w:rsid w:val="009A71F9"/>
    <w:rsid w:val="009A78D6"/>
    <w:rsid w:val="009B0AB7"/>
    <w:rsid w:val="009B1A06"/>
    <w:rsid w:val="009B3C3F"/>
    <w:rsid w:val="009B3CBF"/>
    <w:rsid w:val="009B3E17"/>
    <w:rsid w:val="009B519D"/>
    <w:rsid w:val="009B6B1B"/>
    <w:rsid w:val="009B75A6"/>
    <w:rsid w:val="009B7EE6"/>
    <w:rsid w:val="009C12B6"/>
    <w:rsid w:val="009C1B5C"/>
    <w:rsid w:val="009C2889"/>
    <w:rsid w:val="009C51A2"/>
    <w:rsid w:val="009C60E5"/>
    <w:rsid w:val="009C612F"/>
    <w:rsid w:val="009C767F"/>
    <w:rsid w:val="009D0192"/>
    <w:rsid w:val="009D146A"/>
    <w:rsid w:val="009D2D26"/>
    <w:rsid w:val="009D5BE7"/>
    <w:rsid w:val="009E2F88"/>
    <w:rsid w:val="009E30F4"/>
    <w:rsid w:val="009E7ADE"/>
    <w:rsid w:val="009E7EE9"/>
    <w:rsid w:val="009E7F2C"/>
    <w:rsid w:val="009F007C"/>
    <w:rsid w:val="009F0E56"/>
    <w:rsid w:val="009F1BE3"/>
    <w:rsid w:val="009F261E"/>
    <w:rsid w:val="009F4A60"/>
    <w:rsid w:val="009F4E90"/>
    <w:rsid w:val="009F5D5C"/>
    <w:rsid w:val="009F63FD"/>
    <w:rsid w:val="00A031F8"/>
    <w:rsid w:val="00A04455"/>
    <w:rsid w:val="00A04E70"/>
    <w:rsid w:val="00A05B92"/>
    <w:rsid w:val="00A068F9"/>
    <w:rsid w:val="00A11B87"/>
    <w:rsid w:val="00A13A16"/>
    <w:rsid w:val="00A13D63"/>
    <w:rsid w:val="00A16008"/>
    <w:rsid w:val="00A2000C"/>
    <w:rsid w:val="00A20204"/>
    <w:rsid w:val="00A21AFB"/>
    <w:rsid w:val="00A23615"/>
    <w:rsid w:val="00A25A48"/>
    <w:rsid w:val="00A26176"/>
    <w:rsid w:val="00A261E3"/>
    <w:rsid w:val="00A26BC5"/>
    <w:rsid w:val="00A27FFC"/>
    <w:rsid w:val="00A30B42"/>
    <w:rsid w:val="00A3174A"/>
    <w:rsid w:val="00A31BD8"/>
    <w:rsid w:val="00A3208B"/>
    <w:rsid w:val="00A3253A"/>
    <w:rsid w:val="00A332CC"/>
    <w:rsid w:val="00A35F69"/>
    <w:rsid w:val="00A3713E"/>
    <w:rsid w:val="00A37887"/>
    <w:rsid w:val="00A37B3A"/>
    <w:rsid w:val="00A40E7C"/>
    <w:rsid w:val="00A4114E"/>
    <w:rsid w:val="00A420EA"/>
    <w:rsid w:val="00A431B3"/>
    <w:rsid w:val="00A43598"/>
    <w:rsid w:val="00A44653"/>
    <w:rsid w:val="00A462ED"/>
    <w:rsid w:val="00A47B9F"/>
    <w:rsid w:val="00A5035F"/>
    <w:rsid w:val="00A514C0"/>
    <w:rsid w:val="00A51794"/>
    <w:rsid w:val="00A51A22"/>
    <w:rsid w:val="00A5355C"/>
    <w:rsid w:val="00A5417A"/>
    <w:rsid w:val="00A54941"/>
    <w:rsid w:val="00A559C8"/>
    <w:rsid w:val="00A565B9"/>
    <w:rsid w:val="00A56A23"/>
    <w:rsid w:val="00A60889"/>
    <w:rsid w:val="00A63038"/>
    <w:rsid w:val="00A70477"/>
    <w:rsid w:val="00A705DD"/>
    <w:rsid w:val="00A71E0A"/>
    <w:rsid w:val="00A73558"/>
    <w:rsid w:val="00A74317"/>
    <w:rsid w:val="00A75299"/>
    <w:rsid w:val="00A75A76"/>
    <w:rsid w:val="00A767FE"/>
    <w:rsid w:val="00A76B6A"/>
    <w:rsid w:val="00A81084"/>
    <w:rsid w:val="00A819F4"/>
    <w:rsid w:val="00A81EA6"/>
    <w:rsid w:val="00A8216E"/>
    <w:rsid w:val="00A83B77"/>
    <w:rsid w:val="00A85ADD"/>
    <w:rsid w:val="00A85C54"/>
    <w:rsid w:val="00A86DE0"/>
    <w:rsid w:val="00A900B0"/>
    <w:rsid w:val="00A92F05"/>
    <w:rsid w:val="00A9430B"/>
    <w:rsid w:val="00A94DF0"/>
    <w:rsid w:val="00A94E12"/>
    <w:rsid w:val="00A960EE"/>
    <w:rsid w:val="00A96D1F"/>
    <w:rsid w:val="00AA0B26"/>
    <w:rsid w:val="00AA0DAB"/>
    <w:rsid w:val="00AA135C"/>
    <w:rsid w:val="00AA2ABF"/>
    <w:rsid w:val="00AA2C36"/>
    <w:rsid w:val="00AA38E8"/>
    <w:rsid w:val="00AA5D98"/>
    <w:rsid w:val="00AA67EB"/>
    <w:rsid w:val="00AA6F77"/>
    <w:rsid w:val="00AA7218"/>
    <w:rsid w:val="00AA7376"/>
    <w:rsid w:val="00AA75DE"/>
    <w:rsid w:val="00AA77B1"/>
    <w:rsid w:val="00AA785C"/>
    <w:rsid w:val="00AA78B8"/>
    <w:rsid w:val="00AB46C7"/>
    <w:rsid w:val="00AB526E"/>
    <w:rsid w:val="00AB544A"/>
    <w:rsid w:val="00AB6CF0"/>
    <w:rsid w:val="00AB7794"/>
    <w:rsid w:val="00AC069F"/>
    <w:rsid w:val="00AC10C1"/>
    <w:rsid w:val="00AC3815"/>
    <w:rsid w:val="00AC4086"/>
    <w:rsid w:val="00AC42BC"/>
    <w:rsid w:val="00AC4AF5"/>
    <w:rsid w:val="00AC4F49"/>
    <w:rsid w:val="00AC7E9C"/>
    <w:rsid w:val="00AD1D0D"/>
    <w:rsid w:val="00AD238E"/>
    <w:rsid w:val="00AD3479"/>
    <w:rsid w:val="00AD430B"/>
    <w:rsid w:val="00AD513B"/>
    <w:rsid w:val="00AD667E"/>
    <w:rsid w:val="00AD7B8D"/>
    <w:rsid w:val="00AE1851"/>
    <w:rsid w:val="00AE2B36"/>
    <w:rsid w:val="00AE3CE9"/>
    <w:rsid w:val="00AE5448"/>
    <w:rsid w:val="00AE5684"/>
    <w:rsid w:val="00AE6C4E"/>
    <w:rsid w:val="00AF03C0"/>
    <w:rsid w:val="00AF104E"/>
    <w:rsid w:val="00AF2A34"/>
    <w:rsid w:val="00AF2C12"/>
    <w:rsid w:val="00AF331B"/>
    <w:rsid w:val="00AF376C"/>
    <w:rsid w:val="00AF3E2E"/>
    <w:rsid w:val="00AF41A7"/>
    <w:rsid w:val="00AF426A"/>
    <w:rsid w:val="00AF5498"/>
    <w:rsid w:val="00AF54C6"/>
    <w:rsid w:val="00AF5B21"/>
    <w:rsid w:val="00B0073C"/>
    <w:rsid w:val="00B01C6B"/>
    <w:rsid w:val="00B02B73"/>
    <w:rsid w:val="00B03196"/>
    <w:rsid w:val="00B04B32"/>
    <w:rsid w:val="00B05CAA"/>
    <w:rsid w:val="00B05E2E"/>
    <w:rsid w:val="00B110C3"/>
    <w:rsid w:val="00B11F31"/>
    <w:rsid w:val="00B12F70"/>
    <w:rsid w:val="00B132A0"/>
    <w:rsid w:val="00B13B51"/>
    <w:rsid w:val="00B14673"/>
    <w:rsid w:val="00B15162"/>
    <w:rsid w:val="00B166F0"/>
    <w:rsid w:val="00B16965"/>
    <w:rsid w:val="00B20AB2"/>
    <w:rsid w:val="00B222A1"/>
    <w:rsid w:val="00B23787"/>
    <w:rsid w:val="00B23F42"/>
    <w:rsid w:val="00B24575"/>
    <w:rsid w:val="00B2468C"/>
    <w:rsid w:val="00B31824"/>
    <w:rsid w:val="00B3204A"/>
    <w:rsid w:val="00B32DE3"/>
    <w:rsid w:val="00B33407"/>
    <w:rsid w:val="00B347BE"/>
    <w:rsid w:val="00B35DF4"/>
    <w:rsid w:val="00B37093"/>
    <w:rsid w:val="00B37427"/>
    <w:rsid w:val="00B417C7"/>
    <w:rsid w:val="00B4235B"/>
    <w:rsid w:val="00B42CE4"/>
    <w:rsid w:val="00B441B5"/>
    <w:rsid w:val="00B454E3"/>
    <w:rsid w:val="00B464E4"/>
    <w:rsid w:val="00B46714"/>
    <w:rsid w:val="00B5069A"/>
    <w:rsid w:val="00B549A7"/>
    <w:rsid w:val="00B568FA"/>
    <w:rsid w:val="00B56A2A"/>
    <w:rsid w:val="00B60936"/>
    <w:rsid w:val="00B61610"/>
    <w:rsid w:val="00B62B87"/>
    <w:rsid w:val="00B66743"/>
    <w:rsid w:val="00B66798"/>
    <w:rsid w:val="00B66C25"/>
    <w:rsid w:val="00B6755E"/>
    <w:rsid w:val="00B67CA1"/>
    <w:rsid w:val="00B706ED"/>
    <w:rsid w:val="00B720D1"/>
    <w:rsid w:val="00B72221"/>
    <w:rsid w:val="00B7541F"/>
    <w:rsid w:val="00B7566C"/>
    <w:rsid w:val="00B76F01"/>
    <w:rsid w:val="00B816EE"/>
    <w:rsid w:val="00B81D04"/>
    <w:rsid w:val="00B849B4"/>
    <w:rsid w:val="00B86438"/>
    <w:rsid w:val="00B86E9D"/>
    <w:rsid w:val="00B913EB"/>
    <w:rsid w:val="00B9174E"/>
    <w:rsid w:val="00B93580"/>
    <w:rsid w:val="00B93B47"/>
    <w:rsid w:val="00B93CB1"/>
    <w:rsid w:val="00B94BB1"/>
    <w:rsid w:val="00B979DE"/>
    <w:rsid w:val="00BA0A3C"/>
    <w:rsid w:val="00BA1800"/>
    <w:rsid w:val="00BA2B8A"/>
    <w:rsid w:val="00BA5FC8"/>
    <w:rsid w:val="00BA604C"/>
    <w:rsid w:val="00BB1127"/>
    <w:rsid w:val="00BB5464"/>
    <w:rsid w:val="00BB6ED3"/>
    <w:rsid w:val="00BC1D5C"/>
    <w:rsid w:val="00BC577E"/>
    <w:rsid w:val="00BC6A8D"/>
    <w:rsid w:val="00BC7266"/>
    <w:rsid w:val="00BC7951"/>
    <w:rsid w:val="00BD0D1F"/>
    <w:rsid w:val="00BD0F43"/>
    <w:rsid w:val="00BD185E"/>
    <w:rsid w:val="00BD1A01"/>
    <w:rsid w:val="00BD448E"/>
    <w:rsid w:val="00BD458B"/>
    <w:rsid w:val="00BD5096"/>
    <w:rsid w:val="00BD6116"/>
    <w:rsid w:val="00BD690E"/>
    <w:rsid w:val="00BD7F53"/>
    <w:rsid w:val="00BE11F4"/>
    <w:rsid w:val="00BE280B"/>
    <w:rsid w:val="00BE429F"/>
    <w:rsid w:val="00BE605B"/>
    <w:rsid w:val="00BE6B99"/>
    <w:rsid w:val="00BF1F0D"/>
    <w:rsid w:val="00BF2F24"/>
    <w:rsid w:val="00BF32E2"/>
    <w:rsid w:val="00BF35BE"/>
    <w:rsid w:val="00BF4543"/>
    <w:rsid w:val="00BF5414"/>
    <w:rsid w:val="00C01228"/>
    <w:rsid w:val="00C012BD"/>
    <w:rsid w:val="00C016A4"/>
    <w:rsid w:val="00C0235F"/>
    <w:rsid w:val="00C02E8C"/>
    <w:rsid w:val="00C02EF1"/>
    <w:rsid w:val="00C0500C"/>
    <w:rsid w:val="00C069BA"/>
    <w:rsid w:val="00C06A55"/>
    <w:rsid w:val="00C07086"/>
    <w:rsid w:val="00C12478"/>
    <w:rsid w:val="00C124F1"/>
    <w:rsid w:val="00C14070"/>
    <w:rsid w:val="00C14575"/>
    <w:rsid w:val="00C14DA9"/>
    <w:rsid w:val="00C156A3"/>
    <w:rsid w:val="00C16307"/>
    <w:rsid w:val="00C1663A"/>
    <w:rsid w:val="00C16D78"/>
    <w:rsid w:val="00C17351"/>
    <w:rsid w:val="00C1775A"/>
    <w:rsid w:val="00C2193A"/>
    <w:rsid w:val="00C227CC"/>
    <w:rsid w:val="00C23803"/>
    <w:rsid w:val="00C23C4E"/>
    <w:rsid w:val="00C2404B"/>
    <w:rsid w:val="00C2524F"/>
    <w:rsid w:val="00C252D1"/>
    <w:rsid w:val="00C25B84"/>
    <w:rsid w:val="00C25CF0"/>
    <w:rsid w:val="00C27EE6"/>
    <w:rsid w:val="00C27FC0"/>
    <w:rsid w:val="00C31FD1"/>
    <w:rsid w:val="00C32CA2"/>
    <w:rsid w:val="00C32ED9"/>
    <w:rsid w:val="00C33D9A"/>
    <w:rsid w:val="00C33FC6"/>
    <w:rsid w:val="00C34175"/>
    <w:rsid w:val="00C36E08"/>
    <w:rsid w:val="00C3712B"/>
    <w:rsid w:val="00C420A3"/>
    <w:rsid w:val="00C42804"/>
    <w:rsid w:val="00C46387"/>
    <w:rsid w:val="00C51190"/>
    <w:rsid w:val="00C51A6B"/>
    <w:rsid w:val="00C51AD4"/>
    <w:rsid w:val="00C54866"/>
    <w:rsid w:val="00C54C8D"/>
    <w:rsid w:val="00C550D8"/>
    <w:rsid w:val="00C55589"/>
    <w:rsid w:val="00C567B6"/>
    <w:rsid w:val="00C5760A"/>
    <w:rsid w:val="00C57B13"/>
    <w:rsid w:val="00C61AED"/>
    <w:rsid w:val="00C621B9"/>
    <w:rsid w:val="00C63A60"/>
    <w:rsid w:val="00C64668"/>
    <w:rsid w:val="00C67694"/>
    <w:rsid w:val="00C70AE1"/>
    <w:rsid w:val="00C7250A"/>
    <w:rsid w:val="00C7257A"/>
    <w:rsid w:val="00C7262A"/>
    <w:rsid w:val="00C739E0"/>
    <w:rsid w:val="00C743A0"/>
    <w:rsid w:val="00C76400"/>
    <w:rsid w:val="00C76749"/>
    <w:rsid w:val="00C7792C"/>
    <w:rsid w:val="00C77E6E"/>
    <w:rsid w:val="00C812D5"/>
    <w:rsid w:val="00C82160"/>
    <w:rsid w:val="00C83895"/>
    <w:rsid w:val="00C8441D"/>
    <w:rsid w:val="00C86BFB"/>
    <w:rsid w:val="00C86F6A"/>
    <w:rsid w:val="00C90B80"/>
    <w:rsid w:val="00C91463"/>
    <w:rsid w:val="00C958B3"/>
    <w:rsid w:val="00C96E98"/>
    <w:rsid w:val="00C979E3"/>
    <w:rsid w:val="00CA0963"/>
    <w:rsid w:val="00CA0B2C"/>
    <w:rsid w:val="00CA2743"/>
    <w:rsid w:val="00CA2B2F"/>
    <w:rsid w:val="00CA305C"/>
    <w:rsid w:val="00CA30FB"/>
    <w:rsid w:val="00CA316E"/>
    <w:rsid w:val="00CA4614"/>
    <w:rsid w:val="00CA5521"/>
    <w:rsid w:val="00CA5A13"/>
    <w:rsid w:val="00CA5C20"/>
    <w:rsid w:val="00CA62CA"/>
    <w:rsid w:val="00CA694F"/>
    <w:rsid w:val="00CA6BE4"/>
    <w:rsid w:val="00CA6F0A"/>
    <w:rsid w:val="00CA7B74"/>
    <w:rsid w:val="00CB00FD"/>
    <w:rsid w:val="00CB0293"/>
    <w:rsid w:val="00CB062E"/>
    <w:rsid w:val="00CB0C1B"/>
    <w:rsid w:val="00CB16CA"/>
    <w:rsid w:val="00CB22B8"/>
    <w:rsid w:val="00CB30B3"/>
    <w:rsid w:val="00CB3736"/>
    <w:rsid w:val="00CB39C9"/>
    <w:rsid w:val="00CB4A2D"/>
    <w:rsid w:val="00CB58DA"/>
    <w:rsid w:val="00CB6206"/>
    <w:rsid w:val="00CB7414"/>
    <w:rsid w:val="00CB7492"/>
    <w:rsid w:val="00CB7CA5"/>
    <w:rsid w:val="00CB7DAA"/>
    <w:rsid w:val="00CC140D"/>
    <w:rsid w:val="00CC5BFC"/>
    <w:rsid w:val="00CC6E6A"/>
    <w:rsid w:val="00CC751B"/>
    <w:rsid w:val="00CC77D4"/>
    <w:rsid w:val="00CD33DC"/>
    <w:rsid w:val="00CD56A4"/>
    <w:rsid w:val="00CD5897"/>
    <w:rsid w:val="00CD59A0"/>
    <w:rsid w:val="00CE107D"/>
    <w:rsid w:val="00CE1C1A"/>
    <w:rsid w:val="00CE2D43"/>
    <w:rsid w:val="00CE3319"/>
    <w:rsid w:val="00CE4B56"/>
    <w:rsid w:val="00CE4C4A"/>
    <w:rsid w:val="00CE5EF6"/>
    <w:rsid w:val="00CE68E8"/>
    <w:rsid w:val="00CF0490"/>
    <w:rsid w:val="00CF1732"/>
    <w:rsid w:val="00CF3D37"/>
    <w:rsid w:val="00CF45A6"/>
    <w:rsid w:val="00CF4E3B"/>
    <w:rsid w:val="00CF55A7"/>
    <w:rsid w:val="00CF5DDF"/>
    <w:rsid w:val="00CF6232"/>
    <w:rsid w:val="00CF7910"/>
    <w:rsid w:val="00CF7AEC"/>
    <w:rsid w:val="00D03F57"/>
    <w:rsid w:val="00D0646A"/>
    <w:rsid w:val="00D071CB"/>
    <w:rsid w:val="00D10453"/>
    <w:rsid w:val="00D10768"/>
    <w:rsid w:val="00D15892"/>
    <w:rsid w:val="00D15906"/>
    <w:rsid w:val="00D1760F"/>
    <w:rsid w:val="00D205AF"/>
    <w:rsid w:val="00D21061"/>
    <w:rsid w:val="00D211FA"/>
    <w:rsid w:val="00D21A45"/>
    <w:rsid w:val="00D22DAD"/>
    <w:rsid w:val="00D26EB4"/>
    <w:rsid w:val="00D274B7"/>
    <w:rsid w:val="00D32D49"/>
    <w:rsid w:val="00D33A49"/>
    <w:rsid w:val="00D33D76"/>
    <w:rsid w:val="00D35D73"/>
    <w:rsid w:val="00D36EAE"/>
    <w:rsid w:val="00D372E5"/>
    <w:rsid w:val="00D4125B"/>
    <w:rsid w:val="00D4150A"/>
    <w:rsid w:val="00D42A72"/>
    <w:rsid w:val="00D43009"/>
    <w:rsid w:val="00D44A18"/>
    <w:rsid w:val="00D464B6"/>
    <w:rsid w:val="00D46608"/>
    <w:rsid w:val="00D47F5E"/>
    <w:rsid w:val="00D5105E"/>
    <w:rsid w:val="00D51663"/>
    <w:rsid w:val="00D51CF8"/>
    <w:rsid w:val="00D5232A"/>
    <w:rsid w:val="00D5456B"/>
    <w:rsid w:val="00D55201"/>
    <w:rsid w:val="00D5522D"/>
    <w:rsid w:val="00D55C11"/>
    <w:rsid w:val="00D56D72"/>
    <w:rsid w:val="00D56F15"/>
    <w:rsid w:val="00D602B3"/>
    <w:rsid w:val="00D60423"/>
    <w:rsid w:val="00D60AF1"/>
    <w:rsid w:val="00D6103F"/>
    <w:rsid w:val="00D63BA9"/>
    <w:rsid w:val="00D65C88"/>
    <w:rsid w:val="00D66230"/>
    <w:rsid w:val="00D70ACA"/>
    <w:rsid w:val="00D710D2"/>
    <w:rsid w:val="00D720C9"/>
    <w:rsid w:val="00D72478"/>
    <w:rsid w:val="00D72EBF"/>
    <w:rsid w:val="00D753E7"/>
    <w:rsid w:val="00D7618E"/>
    <w:rsid w:val="00D761AB"/>
    <w:rsid w:val="00D77539"/>
    <w:rsid w:val="00D77BB4"/>
    <w:rsid w:val="00D81096"/>
    <w:rsid w:val="00D812AB"/>
    <w:rsid w:val="00D8347A"/>
    <w:rsid w:val="00D8497C"/>
    <w:rsid w:val="00D84F62"/>
    <w:rsid w:val="00D85C91"/>
    <w:rsid w:val="00D91BCE"/>
    <w:rsid w:val="00D92A79"/>
    <w:rsid w:val="00D92BAD"/>
    <w:rsid w:val="00D9369E"/>
    <w:rsid w:val="00D9445D"/>
    <w:rsid w:val="00D948BF"/>
    <w:rsid w:val="00D9630F"/>
    <w:rsid w:val="00D97AF9"/>
    <w:rsid w:val="00DA1F2F"/>
    <w:rsid w:val="00DA2175"/>
    <w:rsid w:val="00DA2ABD"/>
    <w:rsid w:val="00DA2B9D"/>
    <w:rsid w:val="00DA4328"/>
    <w:rsid w:val="00DA4A50"/>
    <w:rsid w:val="00DA5634"/>
    <w:rsid w:val="00DA5C97"/>
    <w:rsid w:val="00DA6C3F"/>
    <w:rsid w:val="00DA73C4"/>
    <w:rsid w:val="00DA79F8"/>
    <w:rsid w:val="00DA7F6D"/>
    <w:rsid w:val="00DB172B"/>
    <w:rsid w:val="00DB2BAE"/>
    <w:rsid w:val="00DB325A"/>
    <w:rsid w:val="00DB4F37"/>
    <w:rsid w:val="00DB7DBB"/>
    <w:rsid w:val="00DC02E8"/>
    <w:rsid w:val="00DC03BC"/>
    <w:rsid w:val="00DC0AD8"/>
    <w:rsid w:val="00DC0DA0"/>
    <w:rsid w:val="00DC0FEA"/>
    <w:rsid w:val="00DC1716"/>
    <w:rsid w:val="00DC619A"/>
    <w:rsid w:val="00DC62E8"/>
    <w:rsid w:val="00DC7F21"/>
    <w:rsid w:val="00DD0917"/>
    <w:rsid w:val="00DD29CF"/>
    <w:rsid w:val="00DD360F"/>
    <w:rsid w:val="00DD3D0D"/>
    <w:rsid w:val="00DD4481"/>
    <w:rsid w:val="00DD5452"/>
    <w:rsid w:val="00DD70FE"/>
    <w:rsid w:val="00DD79C1"/>
    <w:rsid w:val="00DD7ECD"/>
    <w:rsid w:val="00DE0324"/>
    <w:rsid w:val="00DE09AE"/>
    <w:rsid w:val="00DE1350"/>
    <w:rsid w:val="00DE1998"/>
    <w:rsid w:val="00DE1A7D"/>
    <w:rsid w:val="00DE28D2"/>
    <w:rsid w:val="00DE3EE6"/>
    <w:rsid w:val="00DE4922"/>
    <w:rsid w:val="00DE4D84"/>
    <w:rsid w:val="00DE50A4"/>
    <w:rsid w:val="00DE56E9"/>
    <w:rsid w:val="00DE6E85"/>
    <w:rsid w:val="00DF0036"/>
    <w:rsid w:val="00DF00E4"/>
    <w:rsid w:val="00DF0B97"/>
    <w:rsid w:val="00DF19AE"/>
    <w:rsid w:val="00DF26BD"/>
    <w:rsid w:val="00DF2D36"/>
    <w:rsid w:val="00DF30DE"/>
    <w:rsid w:val="00DF399B"/>
    <w:rsid w:val="00DF3F4F"/>
    <w:rsid w:val="00DF7C3E"/>
    <w:rsid w:val="00E0013D"/>
    <w:rsid w:val="00E00B9C"/>
    <w:rsid w:val="00E0103E"/>
    <w:rsid w:val="00E02577"/>
    <w:rsid w:val="00E02DAA"/>
    <w:rsid w:val="00E04A5B"/>
    <w:rsid w:val="00E04A62"/>
    <w:rsid w:val="00E04D6E"/>
    <w:rsid w:val="00E04FA3"/>
    <w:rsid w:val="00E05122"/>
    <w:rsid w:val="00E052E5"/>
    <w:rsid w:val="00E05C0E"/>
    <w:rsid w:val="00E06520"/>
    <w:rsid w:val="00E06CE0"/>
    <w:rsid w:val="00E10FB9"/>
    <w:rsid w:val="00E124CE"/>
    <w:rsid w:val="00E125FC"/>
    <w:rsid w:val="00E15716"/>
    <w:rsid w:val="00E15E48"/>
    <w:rsid w:val="00E2030F"/>
    <w:rsid w:val="00E21A61"/>
    <w:rsid w:val="00E21EF1"/>
    <w:rsid w:val="00E2227C"/>
    <w:rsid w:val="00E24CEA"/>
    <w:rsid w:val="00E2571C"/>
    <w:rsid w:val="00E26443"/>
    <w:rsid w:val="00E26904"/>
    <w:rsid w:val="00E26943"/>
    <w:rsid w:val="00E26FCC"/>
    <w:rsid w:val="00E30C30"/>
    <w:rsid w:val="00E30C4B"/>
    <w:rsid w:val="00E31438"/>
    <w:rsid w:val="00E3308C"/>
    <w:rsid w:val="00E337BD"/>
    <w:rsid w:val="00E3442E"/>
    <w:rsid w:val="00E36021"/>
    <w:rsid w:val="00E36FE4"/>
    <w:rsid w:val="00E37354"/>
    <w:rsid w:val="00E4003E"/>
    <w:rsid w:val="00E417BC"/>
    <w:rsid w:val="00E41DDC"/>
    <w:rsid w:val="00E423F7"/>
    <w:rsid w:val="00E449EC"/>
    <w:rsid w:val="00E44C2F"/>
    <w:rsid w:val="00E46146"/>
    <w:rsid w:val="00E46860"/>
    <w:rsid w:val="00E47DDC"/>
    <w:rsid w:val="00E5212C"/>
    <w:rsid w:val="00E52287"/>
    <w:rsid w:val="00E52C32"/>
    <w:rsid w:val="00E53E62"/>
    <w:rsid w:val="00E56605"/>
    <w:rsid w:val="00E57571"/>
    <w:rsid w:val="00E5781B"/>
    <w:rsid w:val="00E614B1"/>
    <w:rsid w:val="00E61C69"/>
    <w:rsid w:val="00E63559"/>
    <w:rsid w:val="00E64805"/>
    <w:rsid w:val="00E65C04"/>
    <w:rsid w:val="00E65F27"/>
    <w:rsid w:val="00E6608E"/>
    <w:rsid w:val="00E66C9D"/>
    <w:rsid w:val="00E7084E"/>
    <w:rsid w:val="00E710F5"/>
    <w:rsid w:val="00E76ECA"/>
    <w:rsid w:val="00E778DC"/>
    <w:rsid w:val="00E82C12"/>
    <w:rsid w:val="00E83DB9"/>
    <w:rsid w:val="00E8483B"/>
    <w:rsid w:val="00E848EC"/>
    <w:rsid w:val="00E86A50"/>
    <w:rsid w:val="00E87025"/>
    <w:rsid w:val="00E8702D"/>
    <w:rsid w:val="00E9090E"/>
    <w:rsid w:val="00E915C9"/>
    <w:rsid w:val="00E92007"/>
    <w:rsid w:val="00E922B5"/>
    <w:rsid w:val="00E95FD6"/>
    <w:rsid w:val="00E961C1"/>
    <w:rsid w:val="00E96880"/>
    <w:rsid w:val="00E9698F"/>
    <w:rsid w:val="00EA0B36"/>
    <w:rsid w:val="00EA26A0"/>
    <w:rsid w:val="00EA2A1E"/>
    <w:rsid w:val="00EA40C0"/>
    <w:rsid w:val="00EA5B0E"/>
    <w:rsid w:val="00EA7140"/>
    <w:rsid w:val="00EA7C50"/>
    <w:rsid w:val="00EB28D1"/>
    <w:rsid w:val="00EB33A5"/>
    <w:rsid w:val="00EB49AC"/>
    <w:rsid w:val="00EB5703"/>
    <w:rsid w:val="00EB6BFA"/>
    <w:rsid w:val="00EB6D52"/>
    <w:rsid w:val="00EB7B71"/>
    <w:rsid w:val="00EC00B7"/>
    <w:rsid w:val="00EC0FCA"/>
    <w:rsid w:val="00EC11E4"/>
    <w:rsid w:val="00EC15D7"/>
    <w:rsid w:val="00EC25D2"/>
    <w:rsid w:val="00EC2FDA"/>
    <w:rsid w:val="00EC4AE3"/>
    <w:rsid w:val="00EC53E7"/>
    <w:rsid w:val="00EC6349"/>
    <w:rsid w:val="00EC665C"/>
    <w:rsid w:val="00EC6F9B"/>
    <w:rsid w:val="00EC7493"/>
    <w:rsid w:val="00ED060C"/>
    <w:rsid w:val="00ED14D9"/>
    <w:rsid w:val="00ED1C1C"/>
    <w:rsid w:val="00ED2304"/>
    <w:rsid w:val="00ED472A"/>
    <w:rsid w:val="00ED4C43"/>
    <w:rsid w:val="00ED5856"/>
    <w:rsid w:val="00ED68F2"/>
    <w:rsid w:val="00ED6B05"/>
    <w:rsid w:val="00ED7087"/>
    <w:rsid w:val="00EE19F2"/>
    <w:rsid w:val="00EE7376"/>
    <w:rsid w:val="00EF04A3"/>
    <w:rsid w:val="00EF09EE"/>
    <w:rsid w:val="00EF1FF4"/>
    <w:rsid w:val="00EF24F3"/>
    <w:rsid w:val="00EF2D35"/>
    <w:rsid w:val="00EF3ADC"/>
    <w:rsid w:val="00EF3D8D"/>
    <w:rsid w:val="00EF3F08"/>
    <w:rsid w:val="00EF43B4"/>
    <w:rsid w:val="00EF44B8"/>
    <w:rsid w:val="00EF53F9"/>
    <w:rsid w:val="00EF68AD"/>
    <w:rsid w:val="00EF694D"/>
    <w:rsid w:val="00EF79D2"/>
    <w:rsid w:val="00F008B6"/>
    <w:rsid w:val="00F016A3"/>
    <w:rsid w:val="00F01AA3"/>
    <w:rsid w:val="00F02015"/>
    <w:rsid w:val="00F0236E"/>
    <w:rsid w:val="00F0318D"/>
    <w:rsid w:val="00F03BAC"/>
    <w:rsid w:val="00F04C8D"/>
    <w:rsid w:val="00F058A4"/>
    <w:rsid w:val="00F100C2"/>
    <w:rsid w:val="00F124CB"/>
    <w:rsid w:val="00F12955"/>
    <w:rsid w:val="00F14AC1"/>
    <w:rsid w:val="00F15B8B"/>
    <w:rsid w:val="00F17A2A"/>
    <w:rsid w:val="00F17D52"/>
    <w:rsid w:val="00F20067"/>
    <w:rsid w:val="00F208EA"/>
    <w:rsid w:val="00F20DD0"/>
    <w:rsid w:val="00F20FAC"/>
    <w:rsid w:val="00F2192C"/>
    <w:rsid w:val="00F22810"/>
    <w:rsid w:val="00F228BD"/>
    <w:rsid w:val="00F22A40"/>
    <w:rsid w:val="00F22C86"/>
    <w:rsid w:val="00F239A2"/>
    <w:rsid w:val="00F23C34"/>
    <w:rsid w:val="00F2627F"/>
    <w:rsid w:val="00F2730B"/>
    <w:rsid w:val="00F30045"/>
    <w:rsid w:val="00F3034E"/>
    <w:rsid w:val="00F31933"/>
    <w:rsid w:val="00F32FBA"/>
    <w:rsid w:val="00F34024"/>
    <w:rsid w:val="00F34FA6"/>
    <w:rsid w:val="00F36189"/>
    <w:rsid w:val="00F368D8"/>
    <w:rsid w:val="00F3707E"/>
    <w:rsid w:val="00F373E5"/>
    <w:rsid w:val="00F37592"/>
    <w:rsid w:val="00F40E34"/>
    <w:rsid w:val="00F41EE1"/>
    <w:rsid w:val="00F4295C"/>
    <w:rsid w:val="00F466C1"/>
    <w:rsid w:val="00F47B2F"/>
    <w:rsid w:val="00F47FD9"/>
    <w:rsid w:val="00F501FA"/>
    <w:rsid w:val="00F53252"/>
    <w:rsid w:val="00F53529"/>
    <w:rsid w:val="00F5463F"/>
    <w:rsid w:val="00F564E8"/>
    <w:rsid w:val="00F570F7"/>
    <w:rsid w:val="00F576B4"/>
    <w:rsid w:val="00F57C17"/>
    <w:rsid w:val="00F60669"/>
    <w:rsid w:val="00F60E31"/>
    <w:rsid w:val="00F613A7"/>
    <w:rsid w:val="00F61611"/>
    <w:rsid w:val="00F62DAF"/>
    <w:rsid w:val="00F6324B"/>
    <w:rsid w:val="00F64D44"/>
    <w:rsid w:val="00F64FE6"/>
    <w:rsid w:val="00F6693C"/>
    <w:rsid w:val="00F67804"/>
    <w:rsid w:val="00F70E62"/>
    <w:rsid w:val="00F7181C"/>
    <w:rsid w:val="00F737E0"/>
    <w:rsid w:val="00F73956"/>
    <w:rsid w:val="00F754C1"/>
    <w:rsid w:val="00F75AD5"/>
    <w:rsid w:val="00F767F4"/>
    <w:rsid w:val="00F76C3A"/>
    <w:rsid w:val="00F817A5"/>
    <w:rsid w:val="00F836E5"/>
    <w:rsid w:val="00F8387A"/>
    <w:rsid w:val="00F855EE"/>
    <w:rsid w:val="00F87088"/>
    <w:rsid w:val="00F920DB"/>
    <w:rsid w:val="00F9264C"/>
    <w:rsid w:val="00F92917"/>
    <w:rsid w:val="00F92CAE"/>
    <w:rsid w:val="00F9374E"/>
    <w:rsid w:val="00F94614"/>
    <w:rsid w:val="00F948BB"/>
    <w:rsid w:val="00F957B3"/>
    <w:rsid w:val="00F95F88"/>
    <w:rsid w:val="00F96087"/>
    <w:rsid w:val="00F96A6A"/>
    <w:rsid w:val="00FA0A95"/>
    <w:rsid w:val="00FA0D24"/>
    <w:rsid w:val="00FA1563"/>
    <w:rsid w:val="00FA23A4"/>
    <w:rsid w:val="00FA2972"/>
    <w:rsid w:val="00FA3249"/>
    <w:rsid w:val="00FA3391"/>
    <w:rsid w:val="00FA43C6"/>
    <w:rsid w:val="00FA69B6"/>
    <w:rsid w:val="00FA6EF8"/>
    <w:rsid w:val="00FA6FFC"/>
    <w:rsid w:val="00FA7EC6"/>
    <w:rsid w:val="00FB1BF5"/>
    <w:rsid w:val="00FB3B47"/>
    <w:rsid w:val="00FB4747"/>
    <w:rsid w:val="00FB7F5C"/>
    <w:rsid w:val="00FC1432"/>
    <w:rsid w:val="00FC15B5"/>
    <w:rsid w:val="00FC2748"/>
    <w:rsid w:val="00FC2A9E"/>
    <w:rsid w:val="00FC3B18"/>
    <w:rsid w:val="00FC4624"/>
    <w:rsid w:val="00FC55CC"/>
    <w:rsid w:val="00FC5BCF"/>
    <w:rsid w:val="00FC6475"/>
    <w:rsid w:val="00FC6654"/>
    <w:rsid w:val="00FD0187"/>
    <w:rsid w:val="00FD0465"/>
    <w:rsid w:val="00FD462C"/>
    <w:rsid w:val="00FD5EAE"/>
    <w:rsid w:val="00FD5F40"/>
    <w:rsid w:val="00FD771E"/>
    <w:rsid w:val="00FD7F61"/>
    <w:rsid w:val="00FE0E4A"/>
    <w:rsid w:val="00FE1273"/>
    <w:rsid w:val="00FE2067"/>
    <w:rsid w:val="00FE2CB2"/>
    <w:rsid w:val="00FE2DB2"/>
    <w:rsid w:val="00FE3FBA"/>
    <w:rsid w:val="00FE44C6"/>
    <w:rsid w:val="00FE5793"/>
    <w:rsid w:val="00FE59A6"/>
    <w:rsid w:val="00FE5A96"/>
    <w:rsid w:val="00FE5AC1"/>
    <w:rsid w:val="00FE7203"/>
    <w:rsid w:val="00FE784F"/>
    <w:rsid w:val="00FE7D58"/>
    <w:rsid w:val="00FF0801"/>
    <w:rsid w:val="00FF094A"/>
    <w:rsid w:val="00FF2B49"/>
    <w:rsid w:val="00FF2D0D"/>
    <w:rsid w:val="00FF39E1"/>
    <w:rsid w:val="00FF3CED"/>
    <w:rsid w:val="00FF49AF"/>
    <w:rsid w:val="00FF4DB0"/>
    <w:rsid w:val="00FF602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14:docId w14:val="66D617D8"/>
  <w15:docId w15:val="{9042B039-A3E3-4CF7-BBFD-65553AF2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42597"/>
    <w:pPr>
      <w:numPr>
        <w:ilvl w:val="4"/>
        <w:numId w:val="5"/>
      </w:numPr>
      <w:spacing w:before="120" w:after="120"/>
      <w:jc w:val="both"/>
    </w:pPr>
    <w:rPr>
      <w:rFonts w:ascii="Verdana" w:hAnsi="Verdana"/>
      <w:sz w:val="18"/>
      <w:szCs w:val="24"/>
    </w:rPr>
  </w:style>
  <w:style w:type="paragraph" w:styleId="Nadpis1">
    <w:name w:val="heading 1"/>
    <w:aliases w:val="oddíl"/>
    <w:basedOn w:val="Normln"/>
    <w:next w:val="Normln"/>
    <w:link w:val="Nadpis1Char"/>
    <w:qFormat/>
    <w:rsid w:val="00842597"/>
    <w:pPr>
      <w:keepNext/>
      <w:numPr>
        <w:ilvl w:val="0"/>
      </w:numPr>
      <w:pBdr>
        <w:bottom w:val="single" w:sz="4" w:space="1" w:color="auto"/>
      </w:pBdr>
      <w:spacing w:before="360"/>
      <w:outlineLvl w:val="0"/>
    </w:pPr>
    <w:rPr>
      <w:rFonts w:cs="Arial"/>
      <w:b/>
      <w:bCs/>
      <w:color w:val="000080"/>
      <w:kern w:val="28"/>
      <w:sz w:val="28"/>
      <w:szCs w:val="20"/>
    </w:rPr>
  </w:style>
  <w:style w:type="paragraph" w:styleId="Nadpis2">
    <w:name w:val="heading 2"/>
    <w:aliases w:val="kapitola"/>
    <w:basedOn w:val="Normln"/>
    <w:next w:val="Normln"/>
    <w:link w:val="Nadpis2Char"/>
    <w:qFormat/>
    <w:rsid w:val="00842597"/>
    <w:pPr>
      <w:keepNext/>
      <w:numPr>
        <w:ilvl w:val="1"/>
      </w:numPr>
      <w:spacing w:before="360"/>
      <w:outlineLvl w:val="1"/>
    </w:pPr>
    <w:rPr>
      <w:rFonts w:cs="Arial"/>
      <w:b/>
      <w:sz w:val="24"/>
      <w:szCs w:val="20"/>
    </w:rPr>
  </w:style>
  <w:style w:type="paragraph" w:styleId="Nadpis30">
    <w:name w:val="heading 3"/>
    <w:aliases w:val="článek"/>
    <w:basedOn w:val="Normln"/>
    <w:next w:val="Normln"/>
    <w:link w:val="Nadpis3Char"/>
    <w:qFormat/>
    <w:rsid w:val="00842597"/>
    <w:pPr>
      <w:keepNext/>
      <w:numPr>
        <w:ilvl w:val="2"/>
      </w:numPr>
      <w:spacing w:before="360"/>
      <w:outlineLvl w:val="2"/>
    </w:pPr>
    <w:rPr>
      <w:b/>
      <w:sz w:val="22"/>
      <w:szCs w:val="20"/>
    </w:rPr>
  </w:style>
  <w:style w:type="paragraph" w:styleId="Nadpis4">
    <w:name w:val="heading 4"/>
    <w:basedOn w:val="Normln"/>
    <w:next w:val="Normln"/>
    <w:link w:val="Nadpis4Char"/>
    <w:qFormat/>
    <w:rsid w:val="00842597"/>
    <w:pPr>
      <w:keepNext/>
      <w:numPr>
        <w:ilvl w:val="3"/>
      </w:numPr>
      <w:spacing w:before="360"/>
      <w:outlineLvl w:val="3"/>
    </w:pPr>
    <w:rPr>
      <w:b/>
      <w:bCs/>
      <w:sz w:val="20"/>
      <w:szCs w:val="28"/>
    </w:rPr>
  </w:style>
  <w:style w:type="paragraph" w:styleId="Nadpis5">
    <w:name w:val="heading 5"/>
    <w:basedOn w:val="Normln"/>
    <w:next w:val="Normln"/>
    <w:link w:val="Nadpis5Char"/>
    <w:uiPriority w:val="99"/>
    <w:qFormat/>
    <w:rsid w:val="007842F9"/>
    <w:pPr>
      <w:numPr>
        <w:numId w:val="2"/>
      </w:numPr>
      <w:spacing w:before="360"/>
      <w:outlineLvl w:val="4"/>
    </w:pPr>
    <w:rPr>
      <w:bCs/>
      <w:i/>
      <w:iCs/>
      <w:sz w:val="20"/>
      <w:szCs w:val="26"/>
    </w:rPr>
  </w:style>
  <w:style w:type="paragraph" w:styleId="Nadpis6">
    <w:name w:val="heading 6"/>
    <w:basedOn w:val="Normln"/>
    <w:next w:val="Normln"/>
    <w:link w:val="Nadpis6Char"/>
    <w:uiPriority w:val="99"/>
    <w:qFormat/>
    <w:rsid w:val="007842F9"/>
    <w:pPr>
      <w:numPr>
        <w:ilvl w:val="5"/>
        <w:numId w:val="2"/>
      </w:numPr>
      <w:spacing w:before="240" w:after="60"/>
      <w:outlineLvl w:val="5"/>
    </w:pPr>
    <w:rPr>
      <w:rFonts w:ascii="Arial" w:hAnsi="Arial"/>
      <w:b/>
      <w:bCs/>
      <w:sz w:val="22"/>
      <w:szCs w:val="22"/>
    </w:rPr>
  </w:style>
  <w:style w:type="paragraph" w:styleId="Nadpis7">
    <w:name w:val="heading 7"/>
    <w:basedOn w:val="Normln"/>
    <w:next w:val="Normln"/>
    <w:link w:val="Nadpis7Char"/>
    <w:uiPriority w:val="99"/>
    <w:qFormat/>
    <w:rsid w:val="007842F9"/>
    <w:pPr>
      <w:keepNext/>
      <w:numPr>
        <w:ilvl w:val="6"/>
        <w:numId w:val="2"/>
      </w:numPr>
      <w:outlineLvl w:val="6"/>
    </w:pPr>
    <w:rPr>
      <w:rFonts w:ascii="Arial" w:hAnsi="Arial"/>
      <w:b/>
      <w:bCs/>
      <w:sz w:val="20"/>
    </w:rPr>
  </w:style>
  <w:style w:type="paragraph" w:styleId="Nadpis8">
    <w:name w:val="heading 8"/>
    <w:basedOn w:val="Normln"/>
    <w:next w:val="Normln"/>
    <w:link w:val="Nadpis8Char"/>
    <w:uiPriority w:val="99"/>
    <w:qFormat/>
    <w:rsid w:val="007842F9"/>
    <w:pPr>
      <w:keepNext/>
      <w:numPr>
        <w:ilvl w:val="7"/>
        <w:numId w:val="2"/>
      </w:numPr>
      <w:spacing w:before="40" w:after="40"/>
      <w:jc w:val="center"/>
      <w:outlineLvl w:val="7"/>
    </w:pPr>
    <w:rPr>
      <w:rFonts w:ascii="Arial" w:hAnsi="Arial"/>
      <w:b/>
      <w:spacing w:val="40"/>
      <w:sz w:val="56"/>
    </w:rPr>
  </w:style>
  <w:style w:type="paragraph" w:styleId="Nadpis9">
    <w:name w:val="heading 9"/>
    <w:basedOn w:val="Normln"/>
    <w:next w:val="Normln"/>
    <w:link w:val="Nadpis9Char"/>
    <w:uiPriority w:val="99"/>
    <w:qFormat/>
    <w:rsid w:val="007842F9"/>
    <w:pPr>
      <w:keepNext/>
      <w:numPr>
        <w:ilvl w:val="8"/>
        <w:numId w:val="2"/>
      </w:numPr>
      <w:outlineLvl w:val="8"/>
    </w:pPr>
    <w:rPr>
      <w:rFonts w:ascii="Arial" w:hAnsi="Arial"/>
      <w:b/>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oddíl Char"/>
    <w:link w:val="Nadpis1"/>
    <w:uiPriority w:val="99"/>
    <w:locked/>
    <w:rsid w:val="00781734"/>
    <w:rPr>
      <w:rFonts w:ascii="Verdana" w:hAnsi="Verdana" w:cs="Arial"/>
      <w:b/>
      <w:bCs/>
      <w:color w:val="000080"/>
      <w:kern w:val="28"/>
      <w:sz w:val="28"/>
    </w:rPr>
  </w:style>
  <w:style w:type="character" w:customStyle="1" w:styleId="Nadpis2Char">
    <w:name w:val="Nadpis 2 Char"/>
    <w:aliases w:val="kapitola Char"/>
    <w:link w:val="Nadpis2"/>
    <w:uiPriority w:val="99"/>
    <w:locked/>
    <w:rsid w:val="00781734"/>
    <w:rPr>
      <w:rFonts w:ascii="Verdana" w:hAnsi="Verdana" w:cs="Arial"/>
      <w:b/>
      <w:sz w:val="24"/>
    </w:rPr>
  </w:style>
  <w:style w:type="character" w:customStyle="1" w:styleId="Nadpis3Char">
    <w:name w:val="Nadpis 3 Char"/>
    <w:aliases w:val="článek Char"/>
    <w:link w:val="Nadpis30"/>
    <w:uiPriority w:val="99"/>
    <w:locked/>
    <w:rsid w:val="00781734"/>
    <w:rPr>
      <w:rFonts w:ascii="Verdana" w:hAnsi="Verdana"/>
      <w:b/>
      <w:sz w:val="22"/>
    </w:rPr>
  </w:style>
  <w:style w:type="character" w:customStyle="1" w:styleId="Nadpis4Char">
    <w:name w:val="Nadpis 4 Char"/>
    <w:link w:val="Nadpis4"/>
    <w:uiPriority w:val="99"/>
    <w:locked/>
    <w:rsid w:val="00781734"/>
    <w:rPr>
      <w:rFonts w:ascii="Verdana" w:hAnsi="Verdana"/>
      <w:b/>
      <w:bCs/>
      <w:szCs w:val="28"/>
    </w:rPr>
  </w:style>
  <w:style w:type="character" w:customStyle="1" w:styleId="Nadpis5Char">
    <w:name w:val="Nadpis 5 Char"/>
    <w:link w:val="Nadpis5"/>
    <w:uiPriority w:val="99"/>
    <w:locked/>
    <w:rsid w:val="00781734"/>
    <w:rPr>
      <w:rFonts w:ascii="Verdana" w:hAnsi="Verdana"/>
      <w:bCs/>
      <w:i/>
      <w:iCs/>
      <w:szCs w:val="26"/>
    </w:rPr>
  </w:style>
  <w:style w:type="character" w:customStyle="1" w:styleId="Nadpis6Char">
    <w:name w:val="Nadpis 6 Char"/>
    <w:link w:val="Nadpis6"/>
    <w:uiPriority w:val="99"/>
    <w:locked/>
    <w:rsid w:val="00781734"/>
    <w:rPr>
      <w:rFonts w:ascii="Arial" w:hAnsi="Arial"/>
      <w:b/>
      <w:bCs/>
      <w:sz w:val="22"/>
      <w:szCs w:val="22"/>
    </w:rPr>
  </w:style>
  <w:style w:type="character" w:customStyle="1" w:styleId="Nadpis7Char">
    <w:name w:val="Nadpis 7 Char"/>
    <w:link w:val="Nadpis7"/>
    <w:uiPriority w:val="99"/>
    <w:locked/>
    <w:rsid w:val="00781734"/>
    <w:rPr>
      <w:rFonts w:ascii="Arial" w:hAnsi="Arial"/>
      <w:b/>
      <w:bCs/>
      <w:szCs w:val="24"/>
    </w:rPr>
  </w:style>
  <w:style w:type="character" w:customStyle="1" w:styleId="Nadpis8Char">
    <w:name w:val="Nadpis 8 Char"/>
    <w:link w:val="Nadpis8"/>
    <w:uiPriority w:val="99"/>
    <w:locked/>
    <w:rsid w:val="00781734"/>
    <w:rPr>
      <w:rFonts w:ascii="Arial" w:hAnsi="Arial"/>
      <w:b/>
      <w:spacing w:val="40"/>
      <w:sz w:val="56"/>
      <w:szCs w:val="24"/>
    </w:rPr>
  </w:style>
  <w:style w:type="character" w:customStyle="1" w:styleId="Nadpis9Char">
    <w:name w:val="Nadpis 9 Char"/>
    <w:link w:val="Nadpis9"/>
    <w:uiPriority w:val="99"/>
    <w:locked/>
    <w:rsid w:val="00781734"/>
    <w:rPr>
      <w:rFonts w:ascii="Arial" w:hAnsi="Arial"/>
      <w:b/>
      <w:sz w:val="32"/>
      <w:szCs w:val="24"/>
    </w:rPr>
  </w:style>
  <w:style w:type="paragraph" w:customStyle="1" w:styleId="ANaspis1">
    <w:name w:val="A_Naspis 1"/>
    <w:next w:val="Normln"/>
    <w:uiPriority w:val="99"/>
    <w:rsid w:val="009544F8"/>
    <w:rPr>
      <w:b/>
      <w:sz w:val="28"/>
    </w:rPr>
  </w:style>
  <w:style w:type="paragraph" w:customStyle="1" w:styleId="ANadpis2">
    <w:name w:val="A_Nadpis 2"/>
    <w:basedOn w:val="Normln"/>
    <w:next w:val="Normln"/>
    <w:uiPriority w:val="99"/>
    <w:rsid w:val="009544F8"/>
    <w:rPr>
      <w:b/>
      <w:szCs w:val="20"/>
    </w:rPr>
  </w:style>
  <w:style w:type="paragraph" w:styleId="Zhlav">
    <w:name w:val="header"/>
    <w:basedOn w:val="Normln"/>
    <w:link w:val="ZhlavChar"/>
    <w:uiPriority w:val="99"/>
    <w:rsid w:val="009544F8"/>
    <w:pPr>
      <w:tabs>
        <w:tab w:val="center" w:pos="4536"/>
        <w:tab w:val="right" w:pos="9072"/>
      </w:tabs>
    </w:pPr>
  </w:style>
  <w:style w:type="character" w:customStyle="1" w:styleId="ZhlavChar">
    <w:name w:val="Záhlaví Char"/>
    <w:link w:val="Zhlav"/>
    <w:uiPriority w:val="99"/>
    <w:locked/>
    <w:rsid w:val="00781734"/>
    <w:rPr>
      <w:rFonts w:ascii="Verdana" w:hAnsi="Verdana"/>
      <w:sz w:val="18"/>
      <w:szCs w:val="24"/>
    </w:rPr>
  </w:style>
  <w:style w:type="paragraph" w:styleId="Zpat">
    <w:name w:val="footer"/>
    <w:basedOn w:val="Normln"/>
    <w:link w:val="ZpatChar"/>
    <w:uiPriority w:val="99"/>
    <w:rsid w:val="009544F8"/>
    <w:pPr>
      <w:tabs>
        <w:tab w:val="center" w:pos="4536"/>
        <w:tab w:val="right" w:pos="9072"/>
      </w:tabs>
    </w:pPr>
  </w:style>
  <w:style w:type="character" w:customStyle="1" w:styleId="ZpatChar">
    <w:name w:val="Zápatí Char"/>
    <w:link w:val="Zpat"/>
    <w:uiPriority w:val="99"/>
    <w:locked/>
    <w:rsid w:val="00781734"/>
    <w:rPr>
      <w:rFonts w:ascii="Verdana" w:hAnsi="Verdana"/>
      <w:sz w:val="18"/>
      <w:szCs w:val="24"/>
    </w:rPr>
  </w:style>
  <w:style w:type="paragraph" w:customStyle="1" w:styleId="Zhlav1">
    <w:name w:val="Záhlaví1"/>
    <w:basedOn w:val="Normln"/>
    <w:uiPriority w:val="99"/>
    <w:rsid w:val="009544F8"/>
    <w:pPr>
      <w:autoSpaceDE w:val="0"/>
      <w:autoSpaceDN w:val="0"/>
      <w:adjustRightInd w:val="0"/>
    </w:pPr>
    <w:rPr>
      <w:rFonts w:ascii="Arial" w:hAnsi="Arial"/>
      <w:b/>
      <w:sz w:val="32"/>
      <w:szCs w:val="20"/>
    </w:rPr>
  </w:style>
  <w:style w:type="paragraph" w:customStyle="1" w:styleId="Zhlav2">
    <w:name w:val="Záhlaví2"/>
    <w:basedOn w:val="Normln"/>
    <w:uiPriority w:val="99"/>
    <w:rsid w:val="009544F8"/>
    <w:pPr>
      <w:autoSpaceDE w:val="0"/>
      <w:autoSpaceDN w:val="0"/>
      <w:adjustRightInd w:val="0"/>
    </w:pPr>
    <w:rPr>
      <w:rFonts w:ascii="Arial" w:hAnsi="Arial"/>
      <w:sz w:val="16"/>
      <w:szCs w:val="20"/>
    </w:rPr>
  </w:style>
  <w:style w:type="paragraph" w:customStyle="1" w:styleId="Odstavec">
    <w:name w:val="Odstavec"/>
    <w:basedOn w:val="Normln"/>
    <w:uiPriority w:val="99"/>
    <w:rsid w:val="009544F8"/>
    <w:pPr>
      <w:ind w:left="454"/>
    </w:pPr>
    <w:rPr>
      <w:rFonts w:ascii="Arial" w:hAnsi="Arial"/>
      <w:sz w:val="20"/>
      <w:szCs w:val="20"/>
    </w:rPr>
  </w:style>
  <w:style w:type="character" w:styleId="Hypertextovodkaz">
    <w:name w:val="Hyperlink"/>
    <w:uiPriority w:val="99"/>
    <w:rsid w:val="009544F8"/>
    <w:rPr>
      <w:rFonts w:cs="Times New Roman"/>
      <w:color w:val="0000FF"/>
      <w:u w:val="single"/>
    </w:rPr>
  </w:style>
  <w:style w:type="paragraph" w:styleId="Obsah1">
    <w:name w:val="toc 1"/>
    <w:basedOn w:val="Normln"/>
    <w:next w:val="Normln"/>
    <w:autoRedefine/>
    <w:uiPriority w:val="39"/>
    <w:rsid w:val="000F5670"/>
    <w:pPr>
      <w:numPr>
        <w:ilvl w:val="0"/>
        <w:numId w:val="0"/>
      </w:numPr>
    </w:pPr>
    <w:rPr>
      <w:b/>
      <w:bCs/>
      <w:sz w:val="22"/>
    </w:rPr>
  </w:style>
  <w:style w:type="paragraph" w:styleId="Obsah2">
    <w:name w:val="toc 2"/>
    <w:basedOn w:val="Normln"/>
    <w:next w:val="Normln"/>
    <w:autoRedefine/>
    <w:uiPriority w:val="39"/>
    <w:rsid w:val="00AA7218"/>
    <w:pPr>
      <w:numPr>
        <w:ilvl w:val="0"/>
        <w:numId w:val="0"/>
      </w:numPr>
      <w:tabs>
        <w:tab w:val="left" w:pos="960"/>
        <w:tab w:val="right" w:leader="dot" w:pos="9060"/>
      </w:tabs>
      <w:ind w:left="1416" w:hanging="1274"/>
    </w:pPr>
  </w:style>
  <w:style w:type="paragraph" w:styleId="Zkladntextodsazen">
    <w:name w:val="Body Text Indent"/>
    <w:basedOn w:val="Normln"/>
    <w:link w:val="ZkladntextodsazenChar"/>
    <w:uiPriority w:val="99"/>
    <w:rsid w:val="009544F8"/>
    <w:pPr>
      <w:ind w:firstLine="540"/>
    </w:pPr>
    <w:rPr>
      <w:rFonts w:ascii="Arial" w:hAnsi="Arial" w:cs="Arial"/>
      <w:i/>
      <w:iCs/>
      <w:color w:val="0000FF"/>
      <w:sz w:val="20"/>
    </w:rPr>
  </w:style>
  <w:style w:type="character" w:customStyle="1" w:styleId="ZkladntextodsazenChar">
    <w:name w:val="Základní text odsazený Char"/>
    <w:link w:val="Zkladntextodsazen"/>
    <w:uiPriority w:val="99"/>
    <w:locked/>
    <w:rsid w:val="00781734"/>
    <w:rPr>
      <w:rFonts w:ascii="Arial" w:hAnsi="Arial" w:cs="Arial"/>
      <w:i/>
      <w:iCs/>
      <w:color w:val="0000FF"/>
      <w:szCs w:val="24"/>
    </w:rPr>
  </w:style>
  <w:style w:type="paragraph" w:styleId="Zkladntext">
    <w:name w:val="Body Text"/>
    <w:basedOn w:val="Normln"/>
    <w:link w:val="ZkladntextChar"/>
    <w:uiPriority w:val="99"/>
    <w:rsid w:val="009544F8"/>
    <w:rPr>
      <w:rFonts w:ascii="Arial" w:hAnsi="Arial" w:cs="Arial"/>
      <w:sz w:val="20"/>
    </w:rPr>
  </w:style>
  <w:style w:type="character" w:customStyle="1" w:styleId="ZkladntextChar">
    <w:name w:val="Základní text Char"/>
    <w:link w:val="Zkladntext"/>
    <w:uiPriority w:val="99"/>
    <w:locked/>
    <w:rsid w:val="00781734"/>
    <w:rPr>
      <w:rFonts w:ascii="Arial" w:hAnsi="Arial" w:cs="Arial"/>
      <w:szCs w:val="24"/>
    </w:rPr>
  </w:style>
  <w:style w:type="paragraph" w:styleId="Obsah4">
    <w:name w:val="toc 4"/>
    <w:basedOn w:val="Normln"/>
    <w:next w:val="Normln"/>
    <w:autoRedefine/>
    <w:uiPriority w:val="99"/>
    <w:semiHidden/>
    <w:rsid w:val="00741477"/>
    <w:pPr>
      <w:numPr>
        <w:ilvl w:val="0"/>
        <w:numId w:val="0"/>
      </w:numPr>
      <w:tabs>
        <w:tab w:val="left" w:pos="960"/>
        <w:tab w:val="right" w:leader="dot" w:pos="9060"/>
      </w:tabs>
      <w:ind w:left="170"/>
    </w:pPr>
  </w:style>
  <w:style w:type="paragraph" w:styleId="Obsah3">
    <w:name w:val="toc 3"/>
    <w:basedOn w:val="Normln"/>
    <w:next w:val="Normln"/>
    <w:autoRedefine/>
    <w:uiPriority w:val="99"/>
    <w:semiHidden/>
    <w:rsid w:val="006701DD"/>
    <w:pPr>
      <w:numPr>
        <w:ilvl w:val="0"/>
        <w:numId w:val="0"/>
      </w:numPr>
      <w:tabs>
        <w:tab w:val="left" w:pos="960"/>
        <w:tab w:val="right" w:leader="dot" w:pos="9060"/>
      </w:tabs>
      <w:ind w:left="227"/>
    </w:pPr>
  </w:style>
  <w:style w:type="paragraph" w:styleId="Obsah5">
    <w:name w:val="toc 5"/>
    <w:basedOn w:val="Normln"/>
    <w:next w:val="Normln"/>
    <w:autoRedefine/>
    <w:uiPriority w:val="99"/>
    <w:semiHidden/>
    <w:rsid w:val="009544F8"/>
    <w:pPr>
      <w:ind w:left="960"/>
    </w:pPr>
  </w:style>
  <w:style w:type="paragraph" w:styleId="Obsah6">
    <w:name w:val="toc 6"/>
    <w:basedOn w:val="Normln"/>
    <w:next w:val="Normln"/>
    <w:autoRedefine/>
    <w:uiPriority w:val="99"/>
    <w:semiHidden/>
    <w:rsid w:val="009544F8"/>
    <w:pPr>
      <w:ind w:left="1200"/>
    </w:pPr>
  </w:style>
  <w:style w:type="paragraph" w:styleId="Obsah7">
    <w:name w:val="toc 7"/>
    <w:basedOn w:val="Normln"/>
    <w:next w:val="Normln"/>
    <w:autoRedefine/>
    <w:uiPriority w:val="99"/>
    <w:semiHidden/>
    <w:rsid w:val="009544F8"/>
    <w:pPr>
      <w:ind w:left="1440"/>
    </w:pPr>
  </w:style>
  <w:style w:type="paragraph" w:styleId="Obsah8">
    <w:name w:val="toc 8"/>
    <w:basedOn w:val="Normln"/>
    <w:next w:val="Normln"/>
    <w:autoRedefine/>
    <w:uiPriority w:val="99"/>
    <w:semiHidden/>
    <w:rsid w:val="009544F8"/>
    <w:pPr>
      <w:ind w:left="1680"/>
    </w:pPr>
  </w:style>
  <w:style w:type="paragraph" w:styleId="Obsah9">
    <w:name w:val="toc 9"/>
    <w:basedOn w:val="Normln"/>
    <w:next w:val="Normln"/>
    <w:autoRedefine/>
    <w:uiPriority w:val="99"/>
    <w:semiHidden/>
    <w:rsid w:val="009544F8"/>
    <w:pPr>
      <w:ind w:left="1920"/>
    </w:pPr>
  </w:style>
  <w:style w:type="paragraph" w:customStyle="1" w:styleId="Zhlav3">
    <w:name w:val="Záhlaví3"/>
    <w:basedOn w:val="Normln"/>
    <w:uiPriority w:val="99"/>
    <w:rsid w:val="009544F8"/>
    <w:pPr>
      <w:autoSpaceDE w:val="0"/>
      <w:autoSpaceDN w:val="0"/>
      <w:adjustRightInd w:val="0"/>
      <w:jc w:val="center"/>
    </w:pPr>
    <w:rPr>
      <w:sz w:val="16"/>
      <w:szCs w:val="20"/>
    </w:rPr>
  </w:style>
  <w:style w:type="paragraph" w:customStyle="1" w:styleId="Text1">
    <w:name w:val="Text1"/>
    <w:basedOn w:val="Normln"/>
    <w:uiPriority w:val="99"/>
    <w:rsid w:val="009544F8"/>
    <w:pPr>
      <w:autoSpaceDE w:val="0"/>
      <w:autoSpaceDN w:val="0"/>
      <w:adjustRightInd w:val="0"/>
      <w:ind w:left="283"/>
      <w:jc w:val="left"/>
    </w:pPr>
    <w:rPr>
      <w:rFonts w:cs="Arial"/>
      <w:b/>
      <w:bCs/>
      <w:sz w:val="22"/>
      <w:szCs w:val="22"/>
    </w:rPr>
  </w:style>
  <w:style w:type="paragraph" w:customStyle="1" w:styleId="TabulkaNadpis">
    <w:name w:val="TabulkaNadpis"/>
    <w:basedOn w:val="Normln"/>
    <w:uiPriority w:val="99"/>
    <w:rsid w:val="009544F8"/>
    <w:pPr>
      <w:autoSpaceDE w:val="0"/>
      <w:autoSpaceDN w:val="0"/>
      <w:adjustRightInd w:val="0"/>
      <w:spacing w:before="113" w:after="113"/>
      <w:jc w:val="left"/>
    </w:pPr>
    <w:rPr>
      <w:rFonts w:cs="Arial"/>
      <w:b/>
      <w:bCs/>
      <w:szCs w:val="20"/>
    </w:rPr>
  </w:style>
  <w:style w:type="paragraph" w:customStyle="1" w:styleId="TabulkaNadpis1">
    <w:name w:val="TabulkaNadpis 1"/>
    <w:basedOn w:val="Normln"/>
    <w:uiPriority w:val="99"/>
    <w:rsid w:val="009544F8"/>
    <w:pPr>
      <w:autoSpaceDE w:val="0"/>
      <w:autoSpaceDN w:val="0"/>
      <w:adjustRightInd w:val="0"/>
      <w:spacing w:before="56" w:after="56"/>
      <w:jc w:val="left"/>
    </w:pPr>
    <w:rPr>
      <w:rFonts w:cs="Arial"/>
      <w:b/>
      <w:bCs/>
      <w:szCs w:val="18"/>
    </w:rPr>
  </w:style>
  <w:style w:type="paragraph" w:customStyle="1" w:styleId="TabulkaNadpis2">
    <w:name w:val="TabulkaNadpis 2"/>
    <w:basedOn w:val="Normln"/>
    <w:uiPriority w:val="99"/>
    <w:rsid w:val="009544F8"/>
    <w:pPr>
      <w:autoSpaceDE w:val="0"/>
      <w:autoSpaceDN w:val="0"/>
      <w:adjustRightInd w:val="0"/>
      <w:spacing w:before="56" w:after="56"/>
      <w:jc w:val="center"/>
    </w:pPr>
    <w:rPr>
      <w:rFonts w:cs="Arial"/>
      <w:b/>
      <w:bCs/>
      <w:szCs w:val="18"/>
    </w:rPr>
  </w:style>
  <w:style w:type="paragraph" w:customStyle="1" w:styleId="TabulkaText">
    <w:name w:val="TabulkaText"/>
    <w:basedOn w:val="Normln"/>
    <w:uiPriority w:val="99"/>
    <w:rsid w:val="009544F8"/>
    <w:pPr>
      <w:autoSpaceDE w:val="0"/>
      <w:autoSpaceDN w:val="0"/>
      <w:adjustRightInd w:val="0"/>
      <w:jc w:val="left"/>
    </w:pPr>
    <w:rPr>
      <w:rFonts w:cs="Arial"/>
      <w:szCs w:val="18"/>
    </w:rPr>
  </w:style>
  <w:style w:type="paragraph" w:customStyle="1" w:styleId="Seznamtabulek">
    <w:name w:val="Seznam tabulek"/>
    <w:basedOn w:val="Normln"/>
    <w:next w:val="Normln"/>
    <w:uiPriority w:val="99"/>
    <w:rsid w:val="009544F8"/>
    <w:pPr>
      <w:tabs>
        <w:tab w:val="left" w:pos="936"/>
      </w:tabs>
      <w:spacing w:after="60"/>
      <w:jc w:val="left"/>
    </w:pPr>
    <w:rPr>
      <w:szCs w:val="20"/>
    </w:rPr>
  </w:style>
  <w:style w:type="paragraph" w:customStyle="1" w:styleId="BodyText23">
    <w:name w:val="Body Text 23"/>
    <w:basedOn w:val="Normln"/>
    <w:uiPriority w:val="99"/>
    <w:rsid w:val="009544F8"/>
    <w:pPr>
      <w:widowControl w:val="0"/>
      <w:spacing w:before="0" w:after="0"/>
      <w:ind w:left="663"/>
    </w:pPr>
    <w:rPr>
      <w:noProof/>
      <w:szCs w:val="20"/>
    </w:rPr>
  </w:style>
  <w:style w:type="paragraph" w:styleId="Titulek">
    <w:name w:val="caption"/>
    <w:basedOn w:val="Normln"/>
    <w:next w:val="Normln"/>
    <w:uiPriority w:val="99"/>
    <w:qFormat/>
    <w:rsid w:val="009544F8"/>
    <w:pPr>
      <w:spacing w:after="60"/>
    </w:pPr>
    <w:rPr>
      <w:b/>
      <w:i/>
      <w:szCs w:val="20"/>
    </w:rPr>
  </w:style>
  <w:style w:type="character" w:styleId="Znakapoznpodarou">
    <w:name w:val="footnote reference"/>
    <w:uiPriority w:val="99"/>
    <w:semiHidden/>
    <w:rsid w:val="009544F8"/>
    <w:rPr>
      <w:rFonts w:cs="Times New Roman"/>
      <w:vertAlign w:val="superscript"/>
    </w:rPr>
  </w:style>
  <w:style w:type="paragraph" w:styleId="Zkladntext2">
    <w:name w:val="Body Text 2"/>
    <w:basedOn w:val="Normln"/>
    <w:link w:val="Zkladntext2Char"/>
    <w:uiPriority w:val="99"/>
    <w:rsid w:val="009544F8"/>
    <w:pPr>
      <w:shd w:val="clear" w:color="auto" w:fill="FFFFFF"/>
      <w:spacing w:after="60"/>
    </w:pPr>
  </w:style>
  <w:style w:type="character" w:customStyle="1" w:styleId="Zkladntext2Char">
    <w:name w:val="Základní text 2 Char"/>
    <w:link w:val="Zkladntext2"/>
    <w:uiPriority w:val="99"/>
    <w:locked/>
    <w:rsid w:val="00781734"/>
    <w:rPr>
      <w:rFonts w:ascii="Verdana" w:hAnsi="Verdana"/>
      <w:sz w:val="18"/>
      <w:szCs w:val="24"/>
      <w:shd w:val="clear" w:color="auto" w:fill="FFFFFF"/>
    </w:rPr>
  </w:style>
  <w:style w:type="paragraph" w:styleId="Textpoznpodarou">
    <w:name w:val="footnote text"/>
    <w:basedOn w:val="Normln"/>
    <w:link w:val="TextpoznpodarouChar"/>
    <w:uiPriority w:val="99"/>
    <w:semiHidden/>
    <w:rsid w:val="009544F8"/>
    <w:pPr>
      <w:spacing w:before="0" w:after="0"/>
      <w:jc w:val="left"/>
    </w:pPr>
    <w:rPr>
      <w:szCs w:val="20"/>
    </w:rPr>
  </w:style>
  <w:style w:type="character" w:customStyle="1" w:styleId="TextpoznpodarouChar">
    <w:name w:val="Text pozn. pod čarou Char"/>
    <w:link w:val="Textpoznpodarou"/>
    <w:uiPriority w:val="99"/>
    <w:semiHidden/>
    <w:locked/>
    <w:rsid w:val="00781734"/>
    <w:rPr>
      <w:rFonts w:ascii="Verdana" w:hAnsi="Verdana"/>
      <w:sz w:val="18"/>
    </w:rPr>
  </w:style>
  <w:style w:type="character" w:styleId="Odkaznakoment">
    <w:name w:val="annotation reference"/>
    <w:uiPriority w:val="99"/>
    <w:semiHidden/>
    <w:rsid w:val="009544F8"/>
    <w:rPr>
      <w:rFonts w:cs="Times New Roman"/>
      <w:sz w:val="16"/>
      <w:szCs w:val="16"/>
    </w:rPr>
  </w:style>
  <w:style w:type="paragraph" w:styleId="Textkomente">
    <w:name w:val="annotation text"/>
    <w:basedOn w:val="Normln"/>
    <w:link w:val="TextkomenteChar"/>
    <w:uiPriority w:val="99"/>
    <w:semiHidden/>
    <w:rsid w:val="009544F8"/>
    <w:rPr>
      <w:szCs w:val="20"/>
    </w:rPr>
  </w:style>
  <w:style w:type="character" w:customStyle="1" w:styleId="TextkomenteChar">
    <w:name w:val="Text komentáře Char"/>
    <w:link w:val="Textkomente"/>
    <w:uiPriority w:val="99"/>
    <w:semiHidden/>
    <w:locked/>
    <w:rsid w:val="00781734"/>
    <w:rPr>
      <w:rFonts w:ascii="Verdana" w:hAnsi="Verdana"/>
      <w:sz w:val="18"/>
    </w:rPr>
  </w:style>
  <w:style w:type="character" w:styleId="Sledovanodkaz">
    <w:name w:val="FollowedHyperlink"/>
    <w:uiPriority w:val="99"/>
    <w:rsid w:val="009544F8"/>
    <w:rPr>
      <w:rFonts w:cs="Times New Roman"/>
      <w:color w:val="800080"/>
      <w:u w:val="single"/>
    </w:rPr>
  </w:style>
  <w:style w:type="table" w:styleId="Mkatabulky">
    <w:name w:val="Table Grid"/>
    <w:basedOn w:val="Normlntabulka"/>
    <w:uiPriority w:val="99"/>
    <w:rsid w:val="005C3E19"/>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3">
    <w:name w:val="Nadpis3"/>
    <w:basedOn w:val="Normln"/>
    <w:uiPriority w:val="99"/>
    <w:rsid w:val="008E5E9E"/>
    <w:pPr>
      <w:numPr>
        <w:ilvl w:val="2"/>
        <w:numId w:val="1"/>
      </w:numPr>
    </w:pPr>
  </w:style>
  <w:style w:type="paragraph" w:customStyle="1" w:styleId="Hlavika">
    <w:name w:val="Hlavička"/>
    <w:basedOn w:val="Normln"/>
    <w:uiPriority w:val="99"/>
    <w:rsid w:val="00610098"/>
    <w:pPr>
      <w:numPr>
        <w:ilvl w:val="0"/>
        <w:numId w:val="0"/>
      </w:numPr>
      <w:jc w:val="left"/>
    </w:pPr>
  </w:style>
  <w:style w:type="paragraph" w:customStyle="1" w:styleId="Nzevpedpisu">
    <w:name w:val="Název předpisu"/>
    <w:basedOn w:val="Normln"/>
    <w:uiPriority w:val="99"/>
    <w:rsid w:val="00610098"/>
    <w:pPr>
      <w:numPr>
        <w:ilvl w:val="0"/>
        <w:numId w:val="0"/>
      </w:numPr>
      <w:jc w:val="center"/>
    </w:pPr>
    <w:rPr>
      <w:rFonts w:cs="Arial"/>
      <w:b/>
      <w:bCs/>
      <w:sz w:val="56"/>
    </w:rPr>
  </w:style>
  <w:style w:type="paragraph" w:customStyle="1" w:styleId="Tabulka">
    <w:name w:val="Tabulka"/>
    <w:basedOn w:val="Normln"/>
    <w:uiPriority w:val="99"/>
    <w:rsid w:val="00610098"/>
    <w:pPr>
      <w:numPr>
        <w:ilvl w:val="0"/>
        <w:numId w:val="0"/>
      </w:numPr>
      <w:jc w:val="left"/>
    </w:pPr>
    <w:rPr>
      <w:bCs/>
    </w:rPr>
  </w:style>
  <w:style w:type="paragraph" w:customStyle="1" w:styleId="odrka">
    <w:name w:val="odrážka"/>
    <w:basedOn w:val="Normln"/>
    <w:autoRedefine/>
    <w:uiPriority w:val="99"/>
    <w:rsid w:val="00DF399B"/>
    <w:pPr>
      <w:numPr>
        <w:ilvl w:val="0"/>
        <w:numId w:val="3"/>
      </w:numPr>
      <w:spacing w:before="0"/>
      <w:jc w:val="left"/>
    </w:pPr>
    <w:rPr>
      <w:sz w:val="20"/>
      <w:szCs w:val="20"/>
    </w:rPr>
  </w:style>
  <w:style w:type="paragraph" w:customStyle="1" w:styleId="odrkaspsmenem">
    <w:name w:val="odrážka s písmenem"/>
    <w:basedOn w:val="Normln"/>
    <w:autoRedefine/>
    <w:uiPriority w:val="99"/>
    <w:rsid w:val="00C227CC"/>
    <w:pPr>
      <w:numPr>
        <w:ilvl w:val="0"/>
        <w:numId w:val="0"/>
      </w:numPr>
      <w:spacing w:before="0"/>
      <w:ind w:left="1134" w:hanging="567"/>
      <w:jc w:val="left"/>
    </w:pPr>
    <w:rPr>
      <w:sz w:val="20"/>
      <w:szCs w:val="20"/>
    </w:rPr>
  </w:style>
  <w:style w:type="paragraph" w:customStyle="1" w:styleId="Styl2">
    <w:name w:val="Styl2"/>
    <w:basedOn w:val="Normln"/>
    <w:autoRedefine/>
    <w:uiPriority w:val="99"/>
    <w:rsid w:val="00C550D8"/>
    <w:pPr>
      <w:numPr>
        <w:ilvl w:val="0"/>
        <w:numId w:val="0"/>
      </w:numPr>
      <w:spacing w:before="0"/>
      <w:ind w:left="720" w:hanging="720"/>
      <w:jc w:val="left"/>
    </w:pPr>
    <w:rPr>
      <w:i/>
      <w:sz w:val="20"/>
      <w:szCs w:val="20"/>
    </w:rPr>
  </w:style>
  <w:style w:type="paragraph" w:customStyle="1" w:styleId="Styl1">
    <w:name w:val="Styl1"/>
    <w:basedOn w:val="Normln"/>
    <w:autoRedefine/>
    <w:uiPriority w:val="99"/>
    <w:rsid w:val="00622E75"/>
    <w:pPr>
      <w:numPr>
        <w:ilvl w:val="0"/>
        <w:numId w:val="0"/>
      </w:numPr>
      <w:spacing w:before="0"/>
      <w:jc w:val="left"/>
    </w:pPr>
    <w:rPr>
      <w:i/>
      <w:sz w:val="20"/>
      <w:szCs w:val="20"/>
    </w:rPr>
  </w:style>
  <w:style w:type="paragraph" w:styleId="Normlnodsazen">
    <w:name w:val="Normal Indent"/>
    <w:basedOn w:val="Normln"/>
    <w:uiPriority w:val="99"/>
    <w:semiHidden/>
    <w:rsid w:val="00AB46C7"/>
    <w:pPr>
      <w:numPr>
        <w:ilvl w:val="0"/>
        <w:numId w:val="4"/>
      </w:numPr>
      <w:spacing w:before="0" w:after="0" w:line="360" w:lineRule="auto"/>
    </w:pPr>
    <w:rPr>
      <w:rFonts w:ascii="Times New Roman" w:hAnsi="Times New Roman"/>
      <w:sz w:val="24"/>
      <w:szCs w:val="20"/>
    </w:rPr>
  </w:style>
  <w:style w:type="paragraph" w:styleId="Pedmtkomente">
    <w:name w:val="annotation subject"/>
    <w:basedOn w:val="Textkomente"/>
    <w:next w:val="Textkomente"/>
    <w:link w:val="PedmtkomenteChar"/>
    <w:uiPriority w:val="99"/>
    <w:semiHidden/>
    <w:rsid w:val="002627EC"/>
    <w:rPr>
      <w:b/>
      <w:bCs/>
      <w:sz w:val="20"/>
    </w:rPr>
  </w:style>
  <w:style w:type="character" w:customStyle="1" w:styleId="PedmtkomenteChar">
    <w:name w:val="Předmět komentáře Char"/>
    <w:link w:val="Pedmtkomente"/>
    <w:uiPriority w:val="99"/>
    <w:semiHidden/>
    <w:locked/>
    <w:rsid w:val="00781734"/>
    <w:rPr>
      <w:rFonts w:ascii="Verdana" w:hAnsi="Verdana"/>
      <w:b/>
      <w:bCs/>
    </w:rPr>
  </w:style>
  <w:style w:type="paragraph" w:styleId="Textbubliny">
    <w:name w:val="Balloon Text"/>
    <w:basedOn w:val="Normln"/>
    <w:link w:val="TextbublinyChar"/>
    <w:uiPriority w:val="99"/>
    <w:semiHidden/>
    <w:rsid w:val="002627EC"/>
    <w:rPr>
      <w:rFonts w:ascii="Tahoma" w:hAnsi="Tahoma" w:cs="Tahoma"/>
      <w:sz w:val="16"/>
      <w:szCs w:val="16"/>
    </w:rPr>
  </w:style>
  <w:style w:type="character" w:customStyle="1" w:styleId="TextbublinyChar">
    <w:name w:val="Text bubliny Char"/>
    <w:link w:val="Textbubliny"/>
    <w:uiPriority w:val="99"/>
    <w:semiHidden/>
    <w:locked/>
    <w:rsid w:val="00781734"/>
    <w:rPr>
      <w:rFonts w:ascii="Tahoma" w:hAnsi="Tahoma" w:cs="Tahoma"/>
      <w:sz w:val="16"/>
      <w:szCs w:val="16"/>
    </w:rPr>
  </w:style>
  <w:style w:type="paragraph" w:customStyle="1" w:styleId="mnusy">
    <w:name w:val="mínusy"/>
    <w:basedOn w:val="Normln"/>
    <w:uiPriority w:val="99"/>
    <w:rsid w:val="00030B4F"/>
    <w:pPr>
      <w:numPr>
        <w:numId w:val="6"/>
      </w:numPr>
    </w:pPr>
  </w:style>
  <w:style w:type="character" w:customStyle="1" w:styleId="Bezbarvy">
    <w:name w:val="Bez barvy"/>
    <w:basedOn w:val="Standardnpsmoodstavce"/>
    <w:uiPriority w:val="13"/>
    <w:qFormat/>
    <w:rsid w:val="00C42804"/>
    <w:rPr>
      <w:bdr w:val="none" w:sz="0" w:space="0" w:color="auto"/>
      <w:shd w:val="clear" w:color="auto" w:fill="auto"/>
    </w:rPr>
  </w:style>
  <w:style w:type="paragraph" w:styleId="Odstavecseseznamem">
    <w:name w:val="List Paragraph"/>
    <w:basedOn w:val="Normln"/>
    <w:link w:val="OdstavecseseznamemChar"/>
    <w:uiPriority w:val="34"/>
    <w:qFormat/>
    <w:rsid w:val="00BF2F24"/>
    <w:pPr>
      <w:contextualSpacing/>
    </w:pPr>
  </w:style>
  <w:style w:type="character" w:customStyle="1" w:styleId="OdstavecseseznamemChar">
    <w:name w:val="Odstavec se seznamem Char"/>
    <w:basedOn w:val="Standardnpsmoodstavce"/>
    <w:link w:val="Odstavecseseznamem"/>
    <w:uiPriority w:val="34"/>
    <w:rsid w:val="00BF2F24"/>
    <w:rPr>
      <w:rFonts w:ascii="Verdana" w:hAnsi="Verdana"/>
      <w:sz w:val="18"/>
      <w:szCs w:val="24"/>
    </w:rPr>
  </w:style>
  <w:style w:type="paragraph" w:styleId="Normlnweb">
    <w:name w:val="Normal (Web)"/>
    <w:basedOn w:val="Normln"/>
    <w:uiPriority w:val="99"/>
    <w:semiHidden/>
    <w:unhideWhenUsed/>
    <w:locked/>
    <w:rsid w:val="000A066D"/>
    <w:pPr>
      <w:numPr>
        <w:ilvl w:val="0"/>
        <w:numId w:val="0"/>
      </w:numPr>
      <w:spacing w:before="100" w:beforeAutospacing="1" w:after="100" w:afterAutospacing="1"/>
      <w:jc w:val="left"/>
    </w:pPr>
    <w:rPr>
      <w:rFonts w:ascii="Times New Roman" w:hAnsi="Times New Roman"/>
      <w:sz w:val="24"/>
    </w:rPr>
  </w:style>
  <w:style w:type="paragraph" w:customStyle="1" w:styleId="Seznama">
    <w:name w:val="Seznam a)"/>
    <w:basedOn w:val="Odstavecseseznamem"/>
    <w:uiPriority w:val="9"/>
    <w:qFormat/>
    <w:rsid w:val="00371826"/>
    <w:pPr>
      <w:numPr>
        <w:ilvl w:val="0"/>
        <w:numId w:val="12"/>
      </w:numPr>
      <w:tabs>
        <w:tab w:val="clear" w:pos="454"/>
      </w:tabs>
      <w:spacing w:after="240"/>
      <w:ind w:left="3600" w:hanging="360"/>
      <w:contextualSpacing w:val="0"/>
    </w:pPr>
  </w:style>
  <w:style w:type="paragraph" w:styleId="Revize">
    <w:name w:val="Revision"/>
    <w:hidden/>
    <w:uiPriority w:val="99"/>
    <w:semiHidden/>
    <w:rsid w:val="00F95F88"/>
    <w:rPr>
      <w:rFonts w:ascii="Verdana" w:hAnsi="Verdan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5950">
      <w:marLeft w:val="0"/>
      <w:marRight w:val="0"/>
      <w:marTop w:val="0"/>
      <w:marBottom w:val="0"/>
      <w:divBdr>
        <w:top w:val="none" w:sz="0" w:space="0" w:color="auto"/>
        <w:left w:val="none" w:sz="0" w:space="0" w:color="auto"/>
        <w:bottom w:val="none" w:sz="0" w:space="0" w:color="auto"/>
        <w:right w:val="none" w:sz="0" w:space="0" w:color="auto"/>
      </w:divBdr>
    </w:div>
    <w:div w:id="1309168150">
      <w:bodyDiv w:val="1"/>
      <w:marLeft w:val="0"/>
      <w:marRight w:val="0"/>
      <w:marTop w:val="0"/>
      <w:marBottom w:val="0"/>
      <w:divBdr>
        <w:top w:val="none" w:sz="0" w:space="0" w:color="auto"/>
        <w:left w:val="none" w:sz="0" w:space="0" w:color="auto"/>
        <w:bottom w:val="none" w:sz="0" w:space="0" w:color="auto"/>
        <w:right w:val="none" w:sz="0" w:space="0" w:color="auto"/>
      </w:divBdr>
      <w:divsChild>
        <w:div w:id="2057272780">
          <w:marLeft w:val="0"/>
          <w:marRight w:val="0"/>
          <w:marTop w:val="0"/>
          <w:marBottom w:val="0"/>
          <w:divBdr>
            <w:top w:val="none" w:sz="0" w:space="0" w:color="auto"/>
            <w:left w:val="none" w:sz="0" w:space="0" w:color="auto"/>
            <w:bottom w:val="none" w:sz="0" w:space="0" w:color="auto"/>
            <w:right w:val="none" w:sz="0" w:space="0" w:color="auto"/>
          </w:divBdr>
        </w:div>
        <w:div w:id="888685942">
          <w:marLeft w:val="0"/>
          <w:marRight w:val="0"/>
          <w:marTop w:val="0"/>
          <w:marBottom w:val="0"/>
          <w:divBdr>
            <w:top w:val="none" w:sz="0" w:space="0" w:color="auto"/>
            <w:left w:val="none" w:sz="0" w:space="0" w:color="auto"/>
            <w:bottom w:val="none" w:sz="0" w:space="0" w:color="auto"/>
            <w:right w:val="none" w:sz="0" w:space="0" w:color="auto"/>
          </w:divBdr>
        </w:div>
      </w:divsChild>
    </w:div>
    <w:div w:id="17963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ms_doclib_f_admin xmlns="890554AB-1885-4894-803D-123CAADE6461">
      <UserInfo>
        <DisplayName>Tomeš Libor</DisplayName>
        <AccountId>71</AccountId>
        <AccountType/>
      </UserInfo>
    </dms_doclib_f_admin>
    <Inheritance xmlns="890554AB-1885-4894-803D-123CAADE6461">["dms_doclib_f_doctype","dms_doclib_f_procs"]</Inheritance>
    <Spolecnost xmlns="890554AB-1885-4894-803D-123CAADE6461">5</Spolecnost>
    <dms_doclib_f_distrib xmlns="890554AB-1885-4894-803D-123CAADE6461">
      <UserInfo>
        <DisplayName/>
        <AccountId xsi:nil="true"/>
        <AccountType/>
      </UserInfo>
    </dms_doclib_f_distrib>
    <DisableCustomXml xmlns="890554AB-1885-4894-803D-123CAADE6461">true</DisableCustomXml>
    <dms_doclib_f_org xmlns="890554AB-1885-4894-803D-123CAADE6461" xsi:nil="true"/>
    <Crm_Note xmlns="890554AB-1885-4894-803D-123CAADE6461" xsi:nil="true"/>
    <dms_doclib_f_attchs xmlns="890554AB-1885-4894-803D-123CAADE6461" xsi:nil="true"/>
    <VlastnikSR xmlns="890554ab-1885-4894-803d-123caade6461">
      <UserInfo>
        <DisplayName/>
        <AccountId xsi:nil="true"/>
        <AccountType/>
      </UserInfo>
    </VlastnikSR>
    <dms_doclib_f_urgueCommDln xmlns="890554AB-1885-4894-803D-123CAADE6461" xsi:nil="true"/>
    <Crm_Typ xmlns="890554AB-1885-4894-803D-123CAADE6461" xsi:nil="true"/>
    <pusobnost xmlns="890554ab-1885-4894-803d-123caade6461">
      <Value>5</Value>
      <Value>6</Value>
    </pusobnost>
    <dms_doclib_f_comms xmlns="890554AB-1885-4894-803D-123CAADE6461">
      <UserInfo>
        <DisplayName>Tomeš Libor</DisplayName>
        <AccountId>71</AccountId>
        <AccountType/>
      </UserInfo>
    </dms_doclib_f_comms>
    <dms_doclib_f_effTo xmlns="890554AB-1885-4894-803D-123CAADE6461" xsi:nil="true"/>
    <dms_doclib_f_infsys xmlns="890554AB-1885-4894-803D-123CAADE6461" xsi:nil="true"/>
    <Nahrazuje xmlns="890554AB-1885-4894-803D-123CAADE6461"/>
    <dms_doclib_f_shrSign xmlns="890554AB-1885-4894-803D-123CAADE6461" xsi:nil="true"/>
    <dms_doclib_f_state xmlns="890554AB-1885-4894-803D-123CAADE6461">Platný</dms_doclib_f_state>
    <VlastnikCR xmlns="890554ab-1885-4894-803d-123caade6461">
      <UserInfo>
        <DisplayName/>
        <AccountId xsi:nil="true"/>
        <AccountType/>
      </UserInfo>
    </VlastnikCR>
    <dms_doclib_f_code xmlns="890554AB-1885-4894-803D-123CAADE6461">JTB_2019/005</dms_doclib_f_code>
    <dms_doclib_f_revs xmlns="890554AB-1885-4894-803D-123CAADE6461">
      <UserInfo>
        <DisplayName>Tomeš Libor</DisplayName>
        <AccountId>71</AccountId>
        <AccountType/>
      </UserInfo>
    </dms_doclib_f_revs>
    <dms_doclib_f_owner xmlns="890554AB-1885-4894-803D-123CAADE6461">
      <UserInfo>
        <DisplayName/>
        <AccountId xsi:nil="true"/>
        <AccountType/>
      </UserInfo>
    </dms_doclib_f_owner>
    <RokVydani xmlns="890554ab-1885-4894-803d-123caade6461">2019</RokVydani>
    <dms_doclib_f_perRevUnit xmlns="890554AB-1885-4894-803D-123CAADE6461" xsi:nil="true"/>
    <dms_doclib_f_doctype xmlns="890554ab-1885-4894-803d-123caade6461">3</dms_doclib_f_doctype>
    <dms_doclib_f_note xmlns="890554AB-1885-4894-803D-123CAADE6461" xsi:nil="true"/>
    <dms_doclib_f_approver xmlns="890554AB-1885-4894-803D-123CAADE6461">
      <UserInfo>
        <DisplayName>Tomeš Libor</DisplayName>
        <AccountId>71</AccountId>
        <AccountType/>
      </UserInfo>
    </dms_doclib_f_approver>
    <dms_doclib_f_shrPer xmlns="890554AB-1885-4894-803D-123CAADE6461" xsi:nil="true"/>
    <dms_doclib_f_prods xmlns="890554AB-1885-4894-803D-123CAADE6461" xsi:nil="true"/>
    <kodSpolecnosti xmlns="890554ab-1885-4894-803d-123caade6461">JTB</kodSpolecnosti>
    <dms_doclib_f_procs xmlns="890554AB-1885-4894-803D-123CAADE6461">147</dms_doclib_f_procs>
    <dms_doclib_f_revUnitCount xmlns="890554AB-1885-4894-803D-123CAADE6461" xsi:nil="true"/>
    <dms_doclib_f_effFrom xmlns="890554AB-1885-4894-803D-123CAADE6461">2019-04-21T22:00:00+00:00</dms_doclib_f_effFrom>
    <dms_doclib_f_deadlcomment xmlns="890554AB-1885-4894-803D-123CAADE6461" xsi:nil="true"/>
    <dms_doclib_f_purpose xmlns="890554AB-1885-4894-803D-123CAADE6461">Stanovit postupy, pravomoci a odpovědnosti spojené s procesy návrhu, vývoje a zavádění konkrétních investičních produktů v J&amp;T BANCE</dms_doclib_f_purpose>
    <Crm_ContractId xmlns="890554AB-1885-4894-803D-123CAADE6461" xsi:nil="true"/>
    <DopadNaIT xmlns="890554ab-1885-4894-803d-123caade6461">false</DopadNaIT>
    <ItemVersion xmlns="890554ab-1885-4894-803d-123caade6461">1.0</Item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B21B495066ED6408BEF43DDAF19414C" ma:contentTypeVersion="8" ma:contentTypeDescription="Vytvoří nový dokument" ma:contentTypeScope="" ma:versionID="1ddd69e9020378d05421a63a6b908a86">
  <xsd:schema xmlns:xsd="http://www.w3.org/2001/XMLSchema" xmlns:xs="http://www.w3.org/2001/XMLSchema" xmlns:p="http://schemas.microsoft.com/office/2006/metadata/properties" xmlns:ns2="890554AB-1885-4894-803D-123CAADE6461" xmlns:ns3="890554ab-1885-4894-803d-123caade6461" targetNamespace="http://schemas.microsoft.com/office/2006/metadata/properties" ma:root="true" ma:fieldsID="1852abb5911dd78ef7e3fafdd11183fd" ns2:_="" ns3:_="">
    <xsd:import namespace="890554AB-1885-4894-803D-123CAADE6461"/>
    <xsd:import namespace="890554ab-1885-4894-803d-123caade6461"/>
    <xsd:element name="properties">
      <xsd:complexType>
        <xsd:sequence>
          <xsd:element name="documentManagement">
            <xsd:complexType>
              <xsd:all>
                <xsd:element ref="ns2:dms_doclib_f_code" minOccurs="0"/>
                <xsd:element ref="ns2:dms_doclib_f_perRevUnit" minOccurs="0"/>
                <xsd:element ref="ns2:dms_doclib_f_deadlcomment" minOccurs="0"/>
                <xsd:element ref="ns2:dms_doclib_f_revUnitCount" minOccurs="0"/>
                <xsd:element ref="ns2:dms_doclib_f_note" minOccurs="0"/>
                <xsd:element ref="ns2:dms_doclib_f_purpose" minOccurs="0"/>
                <xsd:element ref="ns2:dms_doclib_f_procs" minOccurs="0"/>
                <xsd:element ref="ns2:dms_doclib_f_attchs" minOccurs="0"/>
                <xsd:element ref="ns2:dms_doclib_f_revs" minOccurs="0"/>
                <xsd:element ref="ns2:dms_doclib_f_comms" minOccurs="0"/>
                <xsd:element ref="ns2:dms_doclib_f_distrib" minOccurs="0"/>
                <xsd:element ref="ns2:dms_doclib_f_approver" minOccurs="0"/>
                <xsd:element ref="ns2:dms_doclib_f_admin" minOccurs="0"/>
                <xsd:element ref="ns2:dms_doclib_f_owner" minOccurs="0"/>
                <xsd:element ref="ns2:dms_doclib_f_shrPer" minOccurs="0"/>
                <xsd:element ref="ns2:dms_doclib_f_shrSign" minOccurs="0"/>
                <xsd:element ref="ns2:dms_doclib_f_state" minOccurs="0"/>
                <xsd:element ref="ns2:dms_doclib_f_effFrom" minOccurs="0"/>
                <xsd:element ref="ns2:dms_doclib_f_effTo" minOccurs="0"/>
                <xsd:element ref="ns2:dms_doclib_f_urgueCommDln" minOccurs="0"/>
                <xsd:element ref="ns2:Inheritance" minOccurs="0"/>
                <xsd:element ref="ns2:Spolecnost" minOccurs="0"/>
                <xsd:element ref="ns2:DisableCustomXml" minOccurs="0"/>
                <xsd:element ref="ns2:dms_doclib_f_infsys" minOccurs="0"/>
                <xsd:element ref="ns2:dms_doclib_f_org" minOccurs="0"/>
                <xsd:element ref="ns2:dms_doclib_f_prods" minOccurs="0"/>
                <xsd:element ref="ns2:Nahrazuje" minOccurs="0"/>
                <xsd:element ref="ns2:Crm_ContractId" minOccurs="0"/>
                <xsd:element ref="ns2:Crm_Typ" minOccurs="0"/>
                <xsd:element ref="ns2:Crm_Note" minOccurs="0"/>
                <xsd:element ref="ns3:dms_doclib_f_doctype" minOccurs="0"/>
                <xsd:element ref="ns3:VlastnikCR" minOccurs="0"/>
                <xsd:element ref="ns3:VlastnikSR" minOccurs="0"/>
                <xsd:element ref="ns3:RokVydani" minOccurs="0"/>
                <xsd:element ref="ns3:kodSpolecnosti" minOccurs="0"/>
                <xsd:element ref="ns3:pusobnost" minOccurs="0"/>
                <xsd:element ref="ns3:DopadNaIT" minOccurs="0"/>
                <xsd:element ref="ns3:Item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554AB-1885-4894-803D-123CAADE6461" elementFormDefault="qualified">
    <xsd:import namespace="http://schemas.microsoft.com/office/2006/documentManagement/types"/>
    <xsd:import namespace="http://schemas.microsoft.com/office/infopath/2007/PartnerControls"/>
    <xsd:element name="dms_doclib_f_code" ma:index="8" nillable="true" ma:displayName="Kód" ma:internalName="dms_doclib_f_code">
      <xsd:simpleType>
        <xsd:restriction base="dms:Text"/>
      </xsd:simpleType>
    </xsd:element>
    <xsd:element name="dms_doclib_f_perRevUnit" ma:index="9" nillable="true" ma:displayName="Jednotka periody revize" ma:format="Dropdown" ma:internalName="dms_doclib_f_perRevUnit">
      <xsd:simpleType>
        <xsd:restriction base="dms:Choice">
          <xsd:enumeration value="Den"/>
          <xsd:enumeration value="Měsíc"/>
          <xsd:enumeration value="Rok"/>
        </xsd:restriction>
      </xsd:simpleType>
    </xsd:element>
    <xsd:element name="dms_doclib_f_deadlcomment" ma:index="10" nillable="true" ma:displayName="Lhůta připomínkování" ma:internalName="dms_doclib_f_deadlcomment">
      <xsd:simpleType>
        <xsd:restriction base="dms:Number"/>
      </xsd:simpleType>
    </xsd:element>
    <xsd:element name="dms_doclib_f_revUnitCount" ma:index="11" nillable="true" ma:displayName="Počet jednotek revize" ma:internalName="dms_doclib_f_revUnitCount">
      <xsd:simpleType>
        <xsd:restriction base="dms:Number"/>
      </xsd:simpleType>
    </xsd:element>
    <xsd:element name="dms_doclib_f_note" ma:index="12" nillable="true" ma:displayName="Poznámka" ma:internalName="dms_doclib_f_note">
      <xsd:simpleType>
        <xsd:restriction base="dms:Note">
          <xsd:maxLength value="255"/>
        </xsd:restriction>
      </xsd:simpleType>
    </xsd:element>
    <xsd:element name="dms_doclib_f_purpose" ma:index="13" nillable="true" ma:displayName="Účel" ma:internalName="dms_doclib_f_purpose">
      <xsd:simpleType>
        <xsd:restriction base="dms:Note">
          <xsd:maxLength value="255"/>
        </xsd:restriction>
      </xsd:simpleType>
    </xsd:element>
    <xsd:element name="dms_doclib_f_procs" ma:index="14" nillable="true" ma:displayName="Proces" ma:list="{98FB3534-4DD8-42E6-B769-88CF99DF750A}" ma:internalName="dms_doclib_f_procs" ma:showField="Title" ma:web="">
      <xsd:simpleType>
        <xsd:restriction base="dms:Lookup"/>
      </xsd:simpleType>
    </xsd:element>
    <xsd:element name="dms_doclib_f_attchs" ma:index="15" nillable="true" ma:displayName="Přílohy" ma:list="{890554AB-1885-4894-803D-123CAADE6461}" ma:internalName="dms_doclib_f_attchs" ma:showField="Title" ma:web="">
      <xsd:simpleType>
        <xsd:restriction base="dms:Lookup"/>
      </xsd:simpleType>
    </xsd:element>
    <xsd:element name="dms_doclib_f_revs" ma:index="16" nillable="true" ma:displayName="Přezkoumávající" ma:list="UserInfo" ma:SearchPeopleOnly="false" ma:internalName="dms_doclib_f_rev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comms" ma:index="17" nillable="true" ma:displayName="Připomínkující" ma:list="UserInfo" ma:SearchPeopleOnly="false" ma:internalName="dms_doclib_f_comm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distrib" ma:index="18" nillable="true" ma:displayName="Rozdělovník" ma:list="UserInfo" ma:SearchPeopleOnly="false" ma:internalName="dms_doclib_f_distrib">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approver" ma:index="19" nillable="true" ma:displayName="Schvalovatel" ma:list="UserInfo" ma:SharePointGroup="0" ma:internalName="dms_doclib_f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admin" ma:index="20" nillable="true" ma:displayName="Správce" ma:list="UserInfo" ma:SharePointGroup="0" ma:internalName="dms_doclib_f_admi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owner" ma:index="21" nillable="true" ma:displayName="Vlastník" ma:list="UserInfo" ma:SharePointGroup="0" ma:internalName="dms_doclib_f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ms_doclib_f_shrPer" ma:index="22" nillable="true" ma:displayName="Skartační lhůta" ma:internalName="dms_doclib_f_shrPer">
      <xsd:simpleType>
        <xsd:restriction base="dms:Number"/>
      </xsd:simpleType>
    </xsd:element>
    <xsd:element name="dms_doclib_f_shrSign" ma:index="23" nillable="true" ma:displayName="Skartační znak" ma:format="Dropdown" ma:internalName="dms_doclib_f_shrSign">
      <xsd:simpleType>
        <xsd:restriction base="dms:Choice">
          <xsd:enumeration value="V"/>
          <xsd:enumeration value="A"/>
          <xsd:enumeration value="S"/>
        </xsd:restriction>
      </xsd:simpleType>
    </xsd:element>
    <xsd:element name="dms_doclib_f_state" ma:index="24" nillable="true" ma:displayName="Stav" ma:internalName="dms_doclib_f_state">
      <xsd:simpleType>
        <xsd:restriction base="dms:Text"/>
      </xsd:simpleType>
    </xsd:element>
    <xsd:element name="dms_doclib_f_effFrom" ma:index="25" nillable="true" ma:displayName="Účinnost Od" ma:format="DateOnly" ma:internalName="dms_doclib_f_effFrom">
      <xsd:simpleType>
        <xsd:restriction base="dms:DateTime"/>
      </xsd:simpleType>
    </xsd:element>
    <xsd:element name="dms_doclib_f_effTo" ma:index="26" nillable="true" ma:displayName="Účinnost Do" ma:format="DateOnly" ma:internalName="dms_doclib_f_effTo">
      <xsd:simpleType>
        <xsd:restriction base="dms:DateTime"/>
      </xsd:simpleType>
    </xsd:element>
    <xsd:element name="dms_doclib_f_urgueCommDln" ma:index="27" nillable="true" ma:displayName="Urgovat lhůtu připomínkování" ma:internalName="dms_doclib_f_urgueCommDln">
      <xsd:simpleType>
        <xsd:restriction base="dms:Number"/>
      </xsd:simpleType>
    </xsd:element>
    <xsd:element name="Inheritance" ma:index="28" nillable="true" ma:displayName="Inheritance" ma:internalName="Inheritance">
      <xsd:simpleType>
        <xsd:restriction base="dms:Note">
          <xsd:maxLength value="255"/>
        </xsd:restriction>
      </xsd:simpleType>
    </xsd:element>
    <xsd:element name="Spolecnost" ma:index="29" nillable="true" ma:displayName="Společnost" ma:list="{DD7CCAE4-467A-4704-B4F5-6959312C2C4A}" ma:internalName="Spolecnost" ma:showField="Title">
      <xsd:simpleType>
        <xsd:restriction base="dms:Lookup"/>
      </xsd:simpleType>
    </xsd:element>
    <xsd:element name="DisableCustomXml" ma:index="30" nillable="true" ma:displayName="DisableCustomXml" ma:hidden="true" ma:internalName="DisableCustomXml">
      <xsd:simpleType>
        <xsd:restriction base="dms:Boolean"/>
      </xsd:simpleType>
    </xsd:element>
    <xsd:element name="dms_doclib_f_infsys" ma:index="34" nillable="true" ma:displayName="Informační systém" ma:list="{30B7C4ED-5FFD-4C3F-B8A7-04C1D51E5035}" ma:internalName="dms_doclib_f_infsys" ma:showField="Title" ma:web="">
      <xsd:simpleType>
        <xsd:restriction base="dms:Lookup"/>
      </xsd:simpleType>
    </xsd:element>
    <xsd:element name="dms_doclib_f_org" ma:index="35" nillable="true" ma:displayName="Org" ma:list="{7785BC32-A79C-476B-A338-1ADAFF148FA1}" ma:internalName="dms_doclib_f_org" ma:showField="Title" ma:web="">
      <xsd:simpleType>
        <xsd:restriction base="dms:Lookup"/>
      </xsd:simpleType>
    </xsd:element>
    <xsd:element name="dms_doclib_f_prods" ma:index="36" nillable="true" ma:displayName="Produkty" ma:list="{B0C7CCA5-4123-4197-A61C-F321F358BA06}" ma:internalName="dms_doclib_f_prods" ma:showField="Title" ma:web="">
      <xsd:simpleType>
        <xsd:restriction base="dms:Lookup"/>
      </xsd:simpleType>
    </xsd:element>
    <xsd:element name="Nahrazuje" ma:index="37" nillable="true" ma:displayName="Nahrazuje" ma:list="{890554AB-1885-4894-803D-123CAADE6461}" ma:internalName="Nahrazuje" ma:showField="ID">
      <xsd:complexType>
        <xsd:complexContent>
          <xsd:extension base="dms:MultiChoiceLookup">
            <xsd:sequence>
              <xsd:element name="Value" type="dms:Lookup" maxOccurs="unbounded" minOccurs="0" nillable="true"/>
            </xsd:sequence>
          </xsd:extension>
        </xsd:complexContent>
      </xsd:complexType>
    </xsd:element>
    <xsd:element name="Crm_ContractId" ma:index="38" nillable="true" ma:displayName="Crm_ContractId" ma:internalName="Crm_ContractId">
      <xsd:simpleType>
        <xsd:restriction base="dms:Text"/>
      </xsd:simpleType>
    </xsd:element>
    <xsd:element name="Crm_Typ" ma:index="39" nillable="true" ma:displayName="Crm_Typ" ma:internalName="Crm_Typ">
      <xsd:simpleType>
        <xsd:restriction base="dms:Text"/>
      </xsd:simpleType>
    </xsd:element>
    <xsd:element name="Crm_Note" ma:index="40" nillable="true" ma:displayName="Crm_Note" ma:internalName="Crm_Not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554ab-1885-4894-803d-123caade6461" elementFormDefault="qualified">
    <xsd:import namespace="http://schemas.microsoft.com/office/2006/documentManagement/types"/>
    <xsd:import namespace="http://schemas.microsoft.com/office/infopath/2007/PartnerControls"/>
    <xsd:element name="dms_doclib_f_doctype" ma:index="41" nillable="true" ma:displayName="Typ dokumentu" ma:list="{266b6ebe-5579-42b6-b8f5-f444355a0b40}" ma:internalName="dms_doclib_f_doctype" ma:showField="Title">
      <xsd:simpleType>
        <xsd:restriction base="dms:Lookup"/>
      </xsd:simpleType>
    </xsd:element>
    <xsd:element name="VlastnikCR" ma:index="42" nillable="true" ma:displayName="Vlastník ČR" ma:list="UserInfo" ma:internalName="VlastnikC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lastnikSR" ma:index="43" nillable="true" ma:displayName="Vlastník SR" ma:list="UserInfo" ma:internalName="VlastnikS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okVydani" ma:index="44" nillable="true" ma:displayName="Rok vydání" ma:internalName="RokVydani">
      <xsd:simpleType>
        <xsd:restriction base="dms:Text"/>
      </xsd:simpleType>
    </xsd:element>
    <xsd:element name="kodSpolecnosti" ma:index="45" nillable="true" ma:displayName="Kód spolecnosti" ma:internalName="kodSpolecnosti">
      <xsd:simpleType>
        <xsd:restriction base="dms:Text">
          <xsd:maxLength value="255"/>
        </xsd:restriction>
      </xsd:simpleType>
    </xsd:element>
    <xsd:element name="pusobnost" ma:index="46" nillable="true" ma:displayName="Působnost" ma:list="{DD7CCAE4-467A-4704-B4F5-6959312C2C4A}" ma:internalName="pusobnost" ma:showField="Kod" ma:web="d5ec2978-d7b7-41e2-ad41-33368b99b9f1">
      <xsd:complexType>
        <xsd:complexContent>
          <xsd:extension base="dms:MultiChoiceLookup">
            <xsd:sequence>
              <xsd:element name="Value" type="dms:Lookup" maxOccurs="unbounded" minOccurs="0" nillable="true"/>
            </xsd:sequence>
          </xsd:extension>
        </xsd:complexContent>
      </xsd:complexType>
    </xsd:element>
    <xsd:element name="DopadNaIT" ma:index="47" nillable="true" ma:displayName="DopadNaIT" ma:default="0" ma:internalName="DopadNaIT">
      <xsd:simpleType>
        <xsd:restriction base="dms:Boolean"/>
      </xsd:simpleType>
    </xsd:element>
    <xsd:element name="ItemVersion" ma:index="48" nillable="true" ma:displayName="ItemVersion" ma:internalName="Item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áze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Dokument xmlns="http://www.acmark.cz/office/">
  <Vytvořeno xmlns="">28.06.2019 9:12:53</Vytvořeno>
  <Autor xmlns="">Tomeš Libor</Autor>
  <Změněno xmlns="">07.10.2020 23:44:39</Změněno>
  <Autor_změny xmlns="">Systémový účet</Autor_změny>
  <Rezervováno xmlns="">
  </Rezervováno>
  <Název xmlns="">Návrh, vývoj a správa investičních produktů v J&amp;T BANCE</Název>
  <Kód xmlns="">JTB_2019/005</Kód>
  <Jednotka_periody_revize xmlns="">
  </Jednotka_periody_revize>
  <Lhůta_připomínkování xmlns="">
  </Lhůta_připomínkování>
  <Počet_jednotek_revize xmlns="">
  </Počet_jednotek_revize>
  <Poznámka xmlns="">
  </Poznámka>
  <Účel xmlns="">Stanovit postupy, pravomoci a odpovědnosti spojené s procesy návrhu, vývoje a zavádění konkrétních investičních produktů v J&amp;T BANCE</Účel>
  <Proces xmlns="">
    <Název>Návrh, vývoj a správa investičních produktů v bance</Název>
    <Změněno>28.06.2019 9:18:04</Změněno>
    <Vytvořeno>28.06.2019 9:17:41</Vytvořeno>
    <Autor>Tomeš Libor</Autor>
    <Autor_změny>Tomeš Libor</Autor_změny>
    <Zkratka>
    </Zkratka>
    <Skupina>
      <Název>Návrh, vývoj a správa produktů</Název>
      <Změněno>14.08.2016 19:20:08</Změněno>
      <Vytvořeno>14.08.2016 19:20:08</Vytvořeno>
      <Autor>Severin Michal</Autor>
      <Autor_změny>Severin Michal</Autor_změny>
      <Kód>
      </Kód>
    </Skupina>
    <Zkratka>
    </Zkratka>
    <SkupinaText>Návrh, vývoj a správa produktů</SkupinaText>
  </Proces>
  <Přezkoumávající xmlns="">Tomeš Libor</Přezkoumávající>
  <Připomínkující xmlns="">Tomeš Libor</Připomínkující>
  <Rozdělovník xmlns="">
  </Rozdělovník>
  <Schvalovatel xmlns="">Tomeš Libor</Schvalovatel>
  <Správce xmlns="">Tomeš Libor</Správce>
  <Vlastník xmlns="">
  </Vlastník>
  <Skartační_lhůta xmlns="">
  </Skartační_lhůta>
  <Skartační_znak xmlns="">
  </Skartační_znak>
  <Stav xmlns="">Přezkoumání</Stav>
  <Účinnost_Od xmlns="">
  </Účinnost_Od>
  <Účinnost_Do xmlns="">
  </Účinnost_Do>
  <Urgovat_lhůtu_připomínkování xmlns="">
  </Urgovat_lhůtu_připomínkování>
  <Inheritance xmlns="">["dms_doclib_f_doctype","dms_doclib_f_procs"]</Inheritance>
  <Společnost xmlns="">
    <Název>J&amp;T Banka, a.s.</Název>
    <Změněno>14.11.2016 16:19:17</Změněno>
    <Vytvořeno>14.08.2016 19:20:09</Vytvořeno>
    <Autor>Severin Michal</Autor>
    <Autor_změny>Tomeš Libor</Autor_změny>
    <Kód>JTB</Kód>
  </Společnost>
  <Crm_ContractId xmlns="">
  </Crm_ContractId>
  <Crm_Typ xmlns="">
  </Crm_Typ>
  <Crm_Note xmlns="">
  </Crm_Note>
  <Typ_dokumentu xmlns="">
    <Název>Pracovní předpis</Název>
    <Změněno>14.08.2016 19:20:10</Změněno>
    <Vytvořeno>14.08.2016 19:20:10</Vytvořeno>
    <Autor>Severin Michal</Autor>
    <Autor_změny>Severin Michal</Autor_změny>
    <Zkratka>PP</Zkratka>
  </Typ_dokumentu>
  <Vlastník_ČR xmlns="">
  </Vlastník_ČR>
  <Vlastník_SR xmlns="">
  </Vlastník_SR>
  <Rok_vydání xmlns="">2019</Rok_vydání>
  <Kód_spolecnosti xmlns="">JTB</Kód_spolecnosti>
  <Působnost xmlns="">
    <PůsobnostItem multiLookupItem="true">
      <Název>J&amp;T Banka, a.s.</Název>
      <Změněno>14.11.2016 16:19:17</Změněno>
      <Vytvořeno>14.08.2016 19:20:09</Vytvořeno>
      <Autor>Severin Michal</Autor>
      <Autor_změny>Tomeš Libor</Autor_změny>
      <Kód>JTB</Kód>
    </PůsobnostItem>
    <PůsobnostItem multiLookupItem="true">
      <Název>J&amp;T Banka, a.s., pobočka zahraničnej banky</Název>
      <Změněno>14.11.2016 16:19:28</Změněno>
      <Vytvořeno>14.08.2016 19:20:09</Vytvořeno>
      <Autor>Severin Michal</Autor>
      <Autor_změny>Tomeš Libor</Autor_změny>
      <Kód>JTB_SK</Kód>
    </PůsobnostItem>
  </Působnost>
  <Skupina xmlns="">
    <Název>Návrh, vývoj a správa investičních produktů v bance</Název>
    <Změněno>28.06.2019 9:18:04</Změněno>
    <Vytvořeno>28.06.2019 9:17:41</Vytvořeno>
    <Autor>Tomeš Libor</Autor>
    <Autor_změny>Tomeš Libor</Autor_změny>
    <Zkratka>
    </Zkratka>
    <Skupina>
      <Název>Návrh, vývoj a správa produktů</Název>
      <Změněno>14.08.2016 19:20:08</Změněno>
      <Vytvořeno>14.08.2016 19:20:08</Vytvořeno>
      <Autor>Severin Michal</Autor>
      <Autor_změny>Severin Michal</Autor_změny>
      <Kód>
      </Kód>
    </Skupina>
    <Zkratka>
    </Zkratka>
    <SkupinaText>Návrh, vývoj a správa produktů</SkupinaText>
  </Skupina>
  <DopadNaIT xmlns="">false</DopadNaIT>
  <Verze xmlns="">1.7</Verze>
  <Sdílí_se_s xmlns="">
  </Sdílí_se_s>
  <VersionInfo xmlns="">
    <Version>2.0</Version>
    <ModerationStatus>Čeká se</ModerationStatus>
  </VersionInfo>
</Dokument>
</file>

<file path=customXml/itemProps1.xml><?xml version="1.0" encoding="utf-8"?>
<ds:datastoreItem xmlns:ds="http://schemas.openxmlformats.org/officeDocument/2006/customXml" ds:itemID="{11908C4A-BC8D-4493-A39D-75CFE34EA29E}">
  <ds:schemaRefs>
    <ds:schemaRef ds:uri="http://schemas.openxmlformats.org/officeDocument/2006/bibliography"/>
  </ds:schemaRefs>
</ds:datastoreItem>
</file>

<file path=customXml/itemProps2.xml><?xml version="1.0" encoding="utf-8"?>
<ds:datastoreItem xmlns:ds="http://schemas.openxmlformats.org/officeDocument/2006/customXml" ds:itemID="{4C54F932-75A3-4E3E-B1EB-D115B9BF71F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90554ab-1885-4894-803d-123caade6461"/>
    <ds:schemaRef ds:uri="http://purl.org/dc/elements/1.1/"/>
    <ds:schemaRef ds:uri="http://schemas.microsoft.com/office/2006/metadata/properties"/>
    <ds:schemaRef ds:uri="890554AB-1885-4894-803D-123CAADE6461"/>
    <ds:schemaRef ds:uri="http://www.w3.org/XML/1998/namespace"/>
    <ds:schemaRef ds:uri="http://purl.org/dc/dcmitype/"/>
  </ds:schemaRefs>
</ds:datastoreItem>
</file>

<file path=customXml/itemProps3.xml><?xml version="1.0" encoding="utf-8"?>
<ds:datastoreItem xmlns:ds="http://schemas.openxmlformats.org/officeDocument/2006/customXml" ds:itemID="{DCBA5FCE-ED89-46D5-A2F9-1F1FA5761D1A}">
  <ds:schemaRefs>
    <ds:schemaRef ds:uri="http://schemas.microsoft.com/sharepoint/v3/contenttype/forms"/>
  </ds:schemaRefs>
</ds:datastoreItem>
</file>

<file path=customXml/itemProps4.xml><?xml version="1.0" encoding="utf-8"?>
<ds:datastoreItem xmlns:ds="http://schemas.openxmlformats.org/officeDocument/2006/customXml" ds:itemID="{3AD8CC36-7B08-4524-8CC0-A7780EE36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554AB-1885-4894-803D-123CAADE6461"/>
    <ds:schemaRef ds:uri="890554ab-1885-4894-803d-123caade64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6D3C81-48D6-4011-A088-75E76D62A30F}">
  <ds:schemaRefs>
    <ds:schemaRef ds:uri="http://www.acmark.cz/office/"/>
    <ds:schemaRef ds:uri=""/>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5033</Words>
  <Characters>30798</Characters>
  <Application>Microsoft Office Word</Application>
  <DocSecurity>0</DocSecurity>
  <Lines>256</Lines>
  <Paragraphs>71</Paragraphs>
  <ScaleCrop>false</ScaleCrop>
  <HeadingPairs>
    <vt:vector size="2" baseType="variant">
      <vt:variant>
        <vt:lpstr>Název</vt:lpstr>
      </vt:variant>
      <vt:variant>
        <vt:i4>1</vt:i4>
      </vt:variant>
    </vt:vector>
  </HeadingPairs>
  <TitlesOfParts>
    <vt:vector size="1" baseType="lpstr">
      <vt:lpstr>SM_001 Tvorba procesů a vydávání vnitřní dokumentace</vt:lpstr>
    </vt:vector>
  </TitlesOfParts>
  <Company>J &amp; T BANKA, a.s.</Company>
  <LinksUpToDate>false</LinksUpToDate>
  <CharactersWithSpaces>35760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vývoj a správa investičních produktů v J&amp;T BANCE</dc:title>
  <dc:creator>tomes</dc:creator>
  <cp:lastModifiedBy>Čunderlíková Ingrid</cp:lastModifiedBy>
  <cp:revision>13</cp:revision>
  <cp:lastPrinted>2011-02-09T15:37:00Z</cp:lastPrinted>
  <dcterms:created xsi:type="dcterms:W3CDTF">2019-06-25T16:48:00Z</dcterms:created>
  <dcterms:modified xsi:type="dcterms:W3CDTF">2021-12-13T16:18:00Z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0x0101007B21B495066ED6408BEF43DDAF19414C</vt:lpwstr>
  </property>
  <property fmtid="{D5CDD505-2E9C-101B-9397-08002B2CF9AE}" pid="3" name="MSIP_Label_63f4bb52-bd44-4e71-98c6-b1e43e6be5b6_Enabled">
    <vt:lpwstr>true</vt:lpwstr>
  </property>
  <property fmtid="{D5CDD505-2E9C-101B-9397-08002B2CF9AE}" pid="4" name="MSIP_Label_63f4bb52-bd44-4e71-98c6-b1e43e6be5b6_SetDate">
    <vt:lpwstr>2021-12-08T08:38:50Z</vt:lpwstr>
  </property>
  <property fmtid="{D5CDD505-2E9C-101B-9397-08002B2CF9AE}" pid="5" name="MSIP_Label_63f4bb52-bd44-4e71-98c6-b1e43e6be5b6_Method">
    <vt:lpwstr>Standard</vt:lpwstr>
  </property>
  <property fmtid="{D5CDD505-2E9C-101B-9397-08002B2CF9AE}" pid="6" name="MSIP_Label_63f4bb52-bd44-4e71-98c6-b1e43e6be5b6_Name">
    <vt:lpwstr>Chráněné</vt:lpwstr>
  </property>
  <property fmtid="{D5CDD505-2E9C-101B-9397-08002B2CF9AE}" pid="7" name="MSIP_Label_63f4bb52-bd44-4e71-98c6-b1e43e6be5b6_SiteId">
    <vt:lpwstr>9cca307d-eed7-47e0-a567-a3b37ba0308b</vt:lpwstr>
  </property>
  <property fmtid="{D5CDD505-2E9C-101B-9397-08002B2CF9AE}" pid="8" name="MSIP_Label_63f4bb52-bd44-4e71-98c6-b1e43e6be5b6_ActionId">
    <vt:lpwstr>5bc93dcc-4971-41d5-8989-4d5a35b80476</vt:lpwstr>
  </property>
  <property fmtid="{D5CDD505-2E9C-101B-9397-08002B2CF9AE}" pid="9" name="MSIP_Label_63f4bb52-bd44-4e71-98c6-b1e43e6be5b6_ContentBits">
    <vt:lpwstr>0</vt:lpwstr>
  </property>
</Properties>
</file>