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materials:</w:t>
      </w:r>
      <w:r>
        <w:t xml:space="preserve"> </w:t>
      </w:r>
      <w:r>
        <w:t xml:space="preserve">Checklist-conditional</w:t>
      </w:r>
      <w:r>
        <w:t xml:space="preserve"> </w:t>
      </w:r>
      <w:r>
        <w:t xml:space="preserve">bird</w:t>
      </w:r>
      <w:r>
        <w:t xml:space="preserve"> </w:t>
      </w:r>
      <w:r>
        <w:t xml:space="preserve">associations</w:t>
      </w:r>
      <w:r>
        <w:t xml:space="preserve"> </w:t>
      </w:r>
      <w:r>
        <w:t xml:space="preserve">with</w:t>
      </w:r>
      <w:r>
        <w:t xml:space="preserve"> </w:t>
      </w:r>
      <w:r>
        <w:t xml:space="preserve">Pacific</w:t>
      </w:r>
      <w:r>
        <w:t xml:space="preserve"> </w:t>
      </w:r>
      <w:r>
        <w:t xml:space="preserve">herring</w:t>
      </w:r>
      <w:r>
        <w:t xml:space="preserve"> </w:t>
      </w:r>
      <w:r>
        <w:t xml:space="preserve">spawn</w:t>
      </w:r>
    </w:p>
    <w:p>
      <w:pPr>
        <w:pStyle w:val="Subtitle"/>
      </w:pPr>
      <w:r>
        <w:t xml:space="preserve">Stage</w:t>
      </w:r>
      <w:r>
        <w:t xml:space="preserve"> </w:t>
      </w:r>
      <w:r>
        <w:t xml:space="preserve">4A</w:t>
      </w:r>
      <w:r>
        <w:t xml:space="preserve"> </w:t>
      </w:r>
      <w:r>
        <w:t xml:space="preserve">v2</w:t>
      </w:r>
      <w:r>
        <w:t xml:space="preserve"> </w:t>
      </w:r>
      <w:r>
        <w:t xml:space="preserve">analysis</w:t>
      </w:r>
      <w:r>
        <w:t xml:space="preserve"> </w:t>
      </w:r>
      <w:r>
        <w:t xml:space="preserve">freeze</w:t>
      </w:r>
    </w:p>
    <w:p>
      <w:pPr>
        <w:pStyle w:val="Author"/>
      </w:pPr>
      <w:r>
        <w:t xml:space="preserve">[AUTHOR</w:t>
      </w:r>
      <w:r>
        <w:t xml:space="preserve"> </w:t>
      </w:r>
      <w:r>
        <w:t xml:space="preserve">LIST</w:t>
      </w:r>
      <w:r>
        <w:t xml:space="preserve"> </w:t>
      </w:r>
      <w:r>
        <w:t xml:space="preserve">REQUIRED]</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supplement-scope"/>
    <w:p>
      <w:pPr>
        <w:pStyle w:val="Heading1"/>
      </w:pPr>
      <w:r>
        <w:t xml:space="preserve">1. Supplement scope</w:t>
      </w:r>
    </w:p>
    <w:p>
      <w:pPr>
        <w:pStyle w:val="FirstParagraph"/>
      </w:pPr>
      <w:r>
        <w:t xml:space="preserve">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pPr>
        <w:pStyle w:val="BodyText"/>
      </w:pPr>
      <w:r>
        <w:t xml:space="preserve">The analysis-freeze commit is</w:t>
      </w:r>
      <w:r>
        <w:t xml:space="preserve"> </w:t>
      </w:r>
      <w:r>
        <w:rPr>
          <w:rStyle w:val="VerbatimChar"/>
        </w:rPr>
        <w:t xml:space="preserve">c54b8e7f95a2fe3573e2e38633079cd223c5a783</w:t>
      </w:r>
      <w:r>
        <w:t xml:space="preserve">, tagged</w:t>
      </w:r>
      <w:r>
        <w:t xml:space="preserve"> </w:t>
      </w:r>
      <w:r>
        <w:rPr>
          <w:rStyle w:val="VerbatimChar"/>
        </w:rPr>
        <w:t xml:space="preserve">stage4a-publication-v2-analysis-freeze</w:t>
      </w:r>
      <w:r>
        <w:t xml:space="preserve">. The manuscript branch changes only publication text, audit tables, rendered documents, and formatting artifacts.</w:t>
      </w:r>
    </w:p>
    <w:bookmarkEnd w:id="20"/>
    <w:bookmarkStart w:id="21" w:name="X656b43efa51a1217ae39c70b2dc1665cc91df8e"/>
    <w:p>
      <w:pPr>
        <w:pStyle w:val="Heading1"/>
      </w:pPr>
      <w:r>
        <w:t xml:space="preserve">2. Registered analysis and model disposition</w:t>
      </w:r>
    </w:p>
    <w:p>
      <w:pPr>
        <w:pStyle w:val="FirstParagraph"/>
      </w:pPr>
      <w:r>
        <w:t xml:space="preserve">Supplementary Table S1 (</w:t>
      </w:r>
      <w:r>
        <w:rPr>
          <w:rStyle w:val="VerbatimChar"/>
        </w:rPr>
        <w:t xml:space="preserve">../metadata/stage4a_publication_model_disposition_v2.csv</w:t>
      </w:r>
      <w:r>
        <w:t xml:space="preserve">)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pPr>
        <w:pStyle w:val="BodyText"/>
      </w:pPr>
      <w:r>
        <w:t xml:space="preserve">Supplementary Table S2 (</w:t>
      </w:r>
      <w:r>
        <w:rPr>
          <w:rStyle w:val="VerbatimChar"/>
        </w:rPr>
        <w:t xml:space="preserve">../outputs/stage4a_results/effect_estimates.csv</w:t>
      </w:r>
      <w:r>
        <w:t xml:space="preserve">) is the full privacy-safe individual-estimate release. It includes all activated species, guild, region, outcome, contrast, coefficient, standard error, interval, p-value, model-specific BH q-value, fit status, and historical pooling fields. Historical v1</w:t>
      </w:r>
      <w:r>
        <w:t xml:space="preserve"> </w:t>
      </w:r>
      <w:r>
        <w:rPr>
          <w:rStyle w:val="VerbatimChar"/>
        </w:rPr>
        <w:t xml:space="preserve">partial_pool_*</w:t>
      </w:r>
      <w:r>
        <w:t xml:space="preserve"> </w:t>
      </w:r>
      <w:r>
        <w:t xml:space="preserve">values are not used for inference; their authoritative invalidation and v2 replacement are described below.</w:t>
      </w:r>
    </w:p>
    <w:bookmarkEnd w:id="21"/>
    <w:bookmarkStart w:id="22" w:name="X0f0d9d136cb8878ee4d7a1d8578536852e2671e"/>
    <w:p>
      <w:pPr>
        <w:pStyle w:val="Heading1"/>
      </w:pPr>
      <w:r>
        <w:t xml:space="preserve">3. Response construction and observation states</w:t>
      </w:r>
    </w:p>
    <w:p>
      <w:pPr>
        <w:pStyle w:val="FirstParagraph"/>
      </w:pPr>
      <w:r>
        <w:t xml:space="preserve">The factorized denominator distinguishes detection, positive numeric count, unquantified</w:t>
      </w:r>
      <w:r>
        <w:t xml:space="preserve"> </w:t>
      </w:r>
      <w:r>
        <w:rPr>
          <w:rStyle w:val="VerbatimChar"/>
        </w:rPr>
        <w:t xml:space="preserve">X</w:t>
      </w:r>
      <w:r>
        <w:t xml:space="preserve">, lower-bound count, ambiguity, and deterministic omission zero. A deterministic zero exists only when an eligible complete checklist did not report the taxon and no ambiguity mask made the state structurally unknown.</w:t>
      </w:r>
      <w:r>
        <w:t xml:space="preserve"> </w:t>
      </w:r>
      <w:r>
        <w:rPr>
          <w:rStyle w:val="VerbatimChar"/>
        </w:rPr>
        <w:t xml:space="preserve">X</w:t>
      </w:r>
      <w:r>
        <w:t xml:space="preserve"> </w:t>
      </w:r>
      <w:r>
        <w:t xml:space="preserve">contributes only to detection. Positive numeric count is conditional on a finite positive report and therefore cannot be interpreted as total abundance or biomass.</w:t>
      </w:r>
    </w:p>
    <w:p>
      <w:pPr>
        <w:pStyle w:val="BodyText"/>
      </w:pPr>
      <w:r>
        <w:t xml:space="preserve">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bookmarkEnd w:id="22"/>
    <w:bookmarkStart w:id="26" w:name="event-time-results"/>
    <w:p>
      <w:pPr>
        <w:pStyle w:val="Heading1"/>
      </w:pPr>
      <w:r>
        <w:t xml:space="preserve">4. Event-time results</w:t>
      </w:r>
    </w:p>
    <w:p>
      <w:pPr>
        <w:pStyle w:val="FirstParagraph"/>
      </w:pPr>
      <w:r>
        <w:t xml:space="preserve">Supplementary Table S3 (</w:t>
      </w:r>
      <w:r>
        <w:rPr>
          <w:rStyle w:val="VerbatimChar"/>
        </w:rPr>
        <w:t xml:space="preserve">../outputs/stage4a_publication_v2/event_time_table_v2.csv</w:t>
      </w:r>
      <w:r>
        <w:t xml:space="preserve">)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pPr>
        <w:pStyle w:val="BodyText"/>
      </w:pPr>
      <w:r>
        <w:drawing>
          <wp:inline>
            <wp:extent cx="5334000" cy="2788227"/>
            <wp:effectExtent b="0" l="0" r="0" t="0"/>
            <wp:docPr descr="" title="" id="24" name="Picture"/>
            <a:graphic>
              <a:graphicData uri="http://schemas.openxmlformats.org/drawingml/2006/picture">
                <pic:pic>
                  <pic:nvPicPr>
                    <pic:cNvPr descr="figures/figureS1_priority_species_v2.png" id="25" name="Picture"/>
                    <pic:cNvPicPr>
                      <a:picLocks noChangeArrowheads="1" noChangeAspect="1"/>
                    </pic:cNvPicPr>
                  </pic:nvPicPr>
                  <pic:blipFill>
                    <a:blip r:embed="rId23"/>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b/>
          <w:bCs/>
        </w:rPr>
        <w:t xml:space="preserve">Supplementary Figure S1. Priority-A species associations.</w:t>
      </w:r>
      <w:r>
        <w:t xml:space="preserve"> </w:t>
      </w:r>
      <w:r>
        <w:t xml:space="preserve">Open marks show individual estimates and filled marks show compatible-family v2 posterior summaries. Detection and conditional positive-count coefficients remain on distinct scales.</w:t>
      </w:r>
    </w:p>
    <w:bookmarkEnd w:id="26"/>
    <w:bookmarkStart w:id="33" w:name="partial-pooling-repair"/>
    <w:p>
      <w:pPr>
        <w:pStyle w:val="Heading1"/>
      </w:pPr>
      <w:r>
        <w:t xml:space="preserve">5. Partial-pooling repair</w:t>
      </w:r>
    </w:p>
    <w:p>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w:t>
      </w:r>
      <w:r>
        <w:t xml:space="preserve"> </w:t>
      </w:r>
      <w:r>
        <w:rPr>
          <w:rStyle w:val="VerbatimChar"/>
        </w:rPr>
        <w:t xml:space="preserve">NA</w:t>
      </w:r>
      <w:r>
        <w:t xml:space="preserve"> </w:t>
      </w:r>
      <w:r>
        <w:t xml:space="preserve">as missing and therefore omitted the registered North-region literal code. The authoritative typed audit covers 6,562 finite v1 rows in 112 historical families.</w:t>
      </w:r>
    </w:p>
    <w:p>
      <w:pPr>
        <w:pStyle w:val="BodyText"/>
      </w:pPr>
      <w:r>
        <w:t xml:space="preserve">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 38 noncompleted rows as explicit NA. Individual estimates, standard errors, confidence intervals, p-values, and model-specific BH q-values were exactly preserved, and no v1 artifact was modified.</w:t>
      </w:r>
    </w:p>
    <w:p>
      <w:pPr>
        <w:pStyle w:val="BodyText"/>
      </w:pPr>
      <w:r>
        <w:t xml:space="preserve">Supplementary Table S4 (</w:t>
      </w:r>
      <w:r>
        <w:rPr>
          <w:rStyle w:val="VerbatimChar"/>
        </w:rPr>
        <w:t xml:space="preserve">../outputs/stage4a_publication_v2/supplementary_family_table_v2.csv</w:t>
      </w:r>
      <w:r>
        <w:t xml:space="preserve">) contains all 162 compatible pooling families. Supplementary Table S5 (</w:t>
      </w:r>
      <w:r>
        <w:rPr>
          <w:rStyle w:val="VerbatimChar"/>
        </w:rPr>
        <w:t xml:space="preserve">../outputs/stage4a_publication_v2/supplementary_exclusion_summary_v2.csv</w:t>
      </w:r>
      <w:r>
        <w:t xml:space="preserve">) summarizes the three row dispositions; row-level reason codes and crosswalks are in the associated metadata files.</w:t>
      </w:r>
    </w:p>
    <w:p>
      <w:pPr>
        <w:pStyle w:val="BodyText"/>
      </w:pPr>
      <w:r>
        <w:drawing>
          <wp:inline>
            <wp:extent cx="5334000" cy="2667000"/>
            <wp:effectExtent b="0" l="0" r="0" t="0"/>
            <wp:docPr descr="" title="" id="28" name="Picture"/>
            <a:graphic>
              <a:graphicData uri="http://schemas.openxmlformats.org/drawingml/2006/picture">
                <pic:pic>
                  <pic:nvPicPr>
                    <pic:cNvPr descr="figures/figureS2_pooling_row_disposition_v2.png" id="29" name="Picture"/>
                    <pic:cNvPicPr>
                      <a:picLocks noChangeArrowheads="1" noChangeAspect="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Supplementary Figure S2. Pooling row disposition.</w:t>
      </w:r>
      <w:r>
        <w:t xml:space="preserve"> </w:t>
      </w:r>
      <w:r>
        <w:t xml:space="preserve">Excluded duplicate representations and noncompleted rows remain explicit NA rather than zero effects.</w:t>
      </w:r>
    </w:p>
    <w:p>
      <w:pPr>
        <w:pStyle w:val="BodyText"/>
      </w:pPr>
      <w:r>
        <w:drawing>
          <wp:inline>
            <wp:extent cx="5334000" cy="2603500"/>
            <wp:effectExtent b="0" l="0" r="0" t="0"/>
            <wp:docPr descr="" title="" id="31" name="Picture"/>
            <a:graphic>
              <a:graphicData uri="http://schemas.openxmlformats.org/drawingml/2006/picture">
                <pic:pic>
                  <pic:nvPicPr>
                    <pic:cNvPr descr="figures/figureS3_pooling_tau_v2.png" id="32" name="Picture"/>
                    <pic:cNvPicPr>
                      <a:picLocks noChangeArrowheads="1" noChangeAspect="1"/>
                    </pic:cNvPicPr>
                  </pic:nvPicPr>
                  <pic:blipFill>
                    <a:blip r:embed="rId30"/>
                    <a:stretch>
                      <a:fillRect/>
                    </a:stretch>
                  </pic:blipFill>
                  <pic:spPr bwMode="auto">
                    <a:xfrm>
                      <a:off x="0" y="0"/>
                      <a:ext cx="5334000" cy="2603500"/>
                    </a:xfrm>
                    <a:prstGeom prst="rect">
                      <a:avLst/>
                    </a:prstGeom>
                    <a:noFill/>
                    <a:ln w="9525">
                      <a:noFill/>
                      <a:headEnd/>
                      <a:tailEnd/>
                    </a:ln>
                  </pic:spPr>
                </pic:pic>
              </a:graphicData>
            </a:graphic>
          </wp:inline>
        </w:drawing>
      </w:r>
    </w:p>
    <w:p>
      <w:pPr>
        <w:pStyle w:val="BodyText"/>
      </w:pPr>
      <w:r>
        <w:rPr>
          <w:b/>
          <w:bCs/>
        </w:rPr>
        <w:t xml:space="preserve">Supplementary Figure S3. Compatible-family heterogeneity.</w:t>
      </w:r>
      <w:r>
        <w:t xml:space="preserve"> </w:t>
      </w:r>
      <w:r>
        <w:t xml:space="preserve">The distribution is a diagnostic of the frozen partial-pooling estimator, not a new ecological outcome.</w:t>
      </w:r>
    </w:p>
    <w:bookmarkEnd w:id="33"/>
    <w:bookmarkStart w:id="34" w:name="singular-fit-component-audit"/>
    <w:p>
      <w:pPr>
        <w:pStyle w:val="Heading1"/>
      </w:pPr>
      <w:r>
        <w:t xml:space="preserve">6. Singular-fit component audit</w:t>
      </w:r>
    </w:p>
    <w:p>
      <w:pPr>
        <w:pStyle w:val="FirstParagraph"/>
      </w:pPr>
      <w:r>
        <w:t xml:space="preserve">Supplementary Table S6 (</w:t>
      </w:r>
      <w:r>
        <w:rPr>
          <w:rStyle w:val="VerbatimChar"/>
        </w:rPr>
        <w:t xml:space="preserve">../outputs/stage4a_publication_v2/singular_fit_claim_audit_v2.csv</w:t>
      </w:r>
      <w:r>
        <w:t xml:space="preserve">)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pPr>
        <w:pStyle w:val="BodyText"/>
      </w:pPr>
      <w:r>
        <w:t xml:space="preserve">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Model version</w:t>
            </w:r>
          </w:p>
        </w:tc>
        <w:tc>
          <w:tcPr/>
          <w:p>
            <w:pPr>
              <w:pStyle w:val="Compact"/>
              <w:jc w:val="right"/>
            </w:pPr>
            <w:r>
              <w:t xml:space="preserve">Singular components</w:t>
            </w:r>
          </w:p>
        </w:tc>
      </w:tr>
      <w:tr>
        <w:tc>
          <w:tcPr/>
          <w:p>
            <w:pPr>
              <w:pStyle w:val="Compact"/>
              <w:jc w:val="left"/>
            </w:pPr>
            <w:r>
              <w:t xml:space="preserve">M01_PRIMARY_v2</w:t>
            </w:r>
          </w:p>
        </w:tc>
        <w:tc>
          <w:tcPr/>
          <w:p>
            <w:pPr>
              <w:pStyle w:val="Compact"/>
              <w:jc w:val="right"/>
            </w:pPr>
            <w:r>
              <w:t xml:space="preserve">6</w:t>
            </w:r>
          </w:p>
        </w:tc>
      </w:tr>
      <w:tr>
        <w:tc>
          <w:tcPr/>
          <w:p>
            <w:pPr>
              <w:pStyle w:val="Compact"/>
              <w:jc w:val="left"/>
            </w:pPr>
            <w:r>
              <w:t xml:space="preserve">M27_v2</w:t>
            </w:r>
          </w:p>
        </w:tc>
        <w:tc>
          <w:tcPr/>
          <w:p>
            <w:pPr>
              <w:pStyle w:val="Compact"/>
              <w:jc w:val="right"/>
            </w:pPr>
            <w:r>
              <w:t xml:space="preserve">10</w:t>
            </w:r>
          </w:p>
        </w:tc>
      </w:tr>
      <w:tr>
        <w:tc>
          <w:tcPr/>
          <w:p>
            <w:pPr>
              <w:pStyle w:val="Compact"/>
              <w:jc w:val="left"/>
            </w:pPr>
            <w:r>
              <w:t xml:space="preserve">M28_v2</w:t>
            </w:r>
          </w:p>
        </w:tc>
        <w:tc>
          <w:tcPr/>
          <w:p>
            <w:pPr>
              <w:pStyle w:val="Compact"/>
              <w:jc w:val="right"/>
            </w:pPr>
            <w:r>
              <w:t xml:space="preserve">10</w:t>
            </w:r>
          </w:p>
        </w:tc>
      </w:tr>
      <w:tr>
        <w:tc>
          <w:tcPr/>
          <w:p>
            <w:pPr>
              <w:pStyle w:val="Compact"/>
              <w:jc w:val="left"/>
            </w:pPr>
            <w:r>
              <w:t xml:space="preserve">S4A11_WCVI_DOMINANT_OBSERVER_v2</w:t>
            </w:r>
          </w:p>
        </w:tc>
        <w:tc>
          <w:tcPr/>
          <w:p>
            <w:pPr>
              <w:pStyle w:val="Compact"/>
              <w:jc w:val="right"/>
            </w:pPr>
            <w:r>
              <w:t xml:space="preserve">9</w:t>
            </w:r>
          </w:p>
        </w:tc>
      </w:tr>
      <w:tr>
        <w:tc>
          <w:tcPr/>
          <w:p>
            <w:pPr>
              <w:pStyle w:val="Compact"/>
              <w:jc w:val="left"/>
            </w:pPr>
            <w:r>
              <w:t xml:space="preserve">S4A12_WCVI_2KM_v2</w:t>
            </w:r>
          </w:p>
        </w:tc>
        <w:tc>
          <w:tcPr/>
          <w:p>
            <w:pPr>
              <w:pStyle w:val="Compact"/>
              <w:jc w:val="right"/>
            </w:pPr>
            <w:r>
              <w:t xml:space="preserve">8</w:t>
            </w:r>
          </w:p>
        </w:tc>
      </w:tr>
      <w:tr>
        <w:tc>
          <w:tcPr/>
          <w:p>
            <w:pPr>
              <w:pStyle w:val="Compact"/>
              <w:jc w:val="left"/>
            </w:pPr>
            <w:r>
              <w:rPr>
                <w:b/>
                <w:bCs/>
              </w:rPr>
              <w:t xml:space="preserve">Total</w:t>
            </w:r>
          </w:p>
        </w:tc>
        <w:tc>
          <w:tcPr/>
          <w:p>
            <w:pPr>
              <w:pStyle w:val="Compact"/>
              <w:jc w:val="right"/>
            </w:pPr>
            <w:r>
              <w:rPr>
                <w:b/>
                <w:bCs/>
              </w:rPr>
              <w:t xml:space="preserve">43</w:t>
            </w:r>
          </w:p>
        </w:tc>
      </w:tr>
    </w:tbl>
    <w:bookmarkEnd w:id="34"/>
    <w:bookmarkStart w:id="38" w:name="placebo-and-matched-sensitivity-details"/>
    <w:p>
      <w:pPr>
        <w:pStyle w:val="Heading1"/>
      </w:pPr>
      <w:r>
        <w:t xml:space="preserve">7. Placebo and matched sensitivity details</w:t>
      </w:r>
    </w:p>
    <w:p>
      <w:pPr>
        <w:pStyle w:val="FirstParagraph"/>
      </w:pPr>
      <w:r>
        <w:t xml:space="preserve">Supplementary Table S7 (</w:t>
      </w:r>
      <w:r>
        <w:rPr>
          <w:rStyle w:val="VerbatimChar"/>
        </w:rPr>
        <w:t xml:space="preserve">../outputs/stage4a_publication_v2/matched_sensitivity_table_v2.csv</w:t>
      </w:r>
      <w:r>
        <w:t xml:space="preserve">, restricted to M27/M28)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pPr>
        <w:pStyle w:val="BodyText"/>
      </w:pPr>
      <w:r>
        <w:t xml:space="preserve">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pPr>
        <w:pStyle w:val="BodyText"/>
      </w:pPr>
      <w:r>
        <w:t xml:space="preserve">Supplementary Table S9 (</w:t>
      </w:r>
      <w:r>
        <w:rPr>
          <w:rStyle w:val="VerbatimChar"/>
        </w:rPr>
        <w:t xml:space="preserve">../outputs/stage4a_publication_sensitivity_v2/matched_validation_v2.csv</w:t>
      </w:r>
      <w:r>
        <w:t xml:space="preserve">) contains 512 model-component-fold rows. Each of the 128 components has four event-blocked folds. Validation uses fixed effects only, excludes unsupported fixed factor levels transparently, suppresses cells below 20, and never uses conditional observer or location BLUPs.</w:t>
      </w:r>
    </w:p>
    <w:p>
      <w:pPr>
        <w:pStyle w:val="BodyText"/>
      </w:pPr>
      <w:r>
        <w:drawing>
          <wp:inline>
            <wp:extent cx="5334000" cy="2122714"/>
            <wp:effectExtent b="0" l="0" r="0" t="0"/>
            <wp:docPr descr="" title="" id="36" name="Picture"/>
            <a:graphic>
              <a:graphicData uri="http://schemas.openxmlformats.org/drawingml/2006/picture">
                <pic:pic>
                  <pic:nvPicPr>
                    <pic:cNvPr descr="figures/figureS4_model_diagnostics_v2.png" id="37" name="Picture"/>
                    <pic:cNvPicPr>
                      <a:picLocks noChangeArrowheads="1" noChangeAspect="1"/>
                    </pic:cNvPicPr>
                  </pic:nvPicPr>
                  <pic:blipFill>
                    <a:blip r:embed="rId35"/>
                    <a:stretch>
                      <a:fillRect/>
                    </a:stretch>
                  </pic:blipFill>
                  <pic:spPr bwMode="auto">
                    <a:xfrm>
                      <a:off x="0" y="0"/>
                      <a:ext cx="5334000" cy="2122714"/>
                    </a:xfrm>
                    <a:prstGeom prst="rect">
                      <a:avLst/>
                    </a:prstGeom>
                    <a:noFill/>
                    <a:ln w="9525">
                      <a:noFill/>
                      <a:headEnd/>
                      <a:tailEnd/>
                    </a:ln>
                  </pic:spPr>
                </pic:pic>
              </a:graphicData>
            </a:graphic>
          </wp:inline>
        </w:drawing>
      </w:r>
    </w:p>
    <w:p>
      <w:pPr>
        <w:pStyle w:val="BodyText"/>
      </w:pPr>
      <w:r>
        <w:rPr>
          <w:b/>
          <w:bCs/>
        </w:rPr>
        <w:t xml:space="preserve">Supplementary Figure S4. Sensitivity execution and fit diagnostics.</w:t>
      </w:r>
      <w:r>
        <w:t xml:space="preserve"> </w:t>
      </w:r>
      <w:r>
        <w:t xml:space="preserve">All components completed; singular warnings remain explicit and failures are not recoded as successful fits.</w:t>
      </w:r>
    </w:p>
    <w:bookmarkEnd w:id="38"/>
    <w:bookmarkStart w:id="39" w:name="X8d0b758b7ecd4305ca0f50fd74c5bafb56ab217"/>
    <w:p>
      <w:pPr>
        <w:pStyle w:val="Heading1"/>
      </w:pPr>
      <w:r>
        <w:t xml:space="preserve">8. Strait of Georgia specificity/falsification audit</w:t>
      </w:r>
    </w:p>
    <w:p>
      <w:pPr>
        <w:pStyle w:val="FirstParagraph"/>
      </w:pPr>
      <w:r>
        <w:t xml:space="preserve">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pPr>
        <w:pStyle w:val="BodyText"/>
      </w:pPr>
      <w:r>
        <w:t xml:space="preserve">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descriptively. The resulting manuscript treatment is therefore to downgrade ecological specificity, state residual-confounding and classification explanations, and retain rather than hide the panel.</w:t>
      </w:r>
    </w:p>
    <w:p>
      <w:pPr>
        <w:pStyle w:val="BodyText"/>
      </w:pPr>
      <w:r>
        <w:t xml:space="preserve">The full two-row audit is</w:t>
      </w:r>
      <w:r>
        <w:t xml:space="preserve"> </w:t>
      </w:r>
      <w:r>
        <w:rPr>
          <w:rStyle w:val="VerbatimChar"/>
        </w:rPr>
        <w:t xml:space="preserve">../outputs/stage4a_publication_v2/sog_falsification_claim_audit_v2.csv</w:t>
      </w:r>
      <w:r>
        <w:t xml:space="preserve">.</w:t>
      </w:r>
    </w:p>
    <w:bookmarkEnd w:id="39"/>
    <w:bookmarkStart w:id="40" w:name="X3b647f72ca45d03c8ab0a7592e6079aa1efe689"/>
    <w:p>
      <w:pPr>
        <w:pStyle w:val="Heading1"/>
      </w:pPr>
      <w:r>
        <w:t xml:space="preserve">9. DFO monitoring, exposure classification, and regional interpretation</w:t>
      </w:r>
    </w:p>
    <w:p>
      <w:pPr>
        <w:pStyle w:val="FirstParagraph"/>
      </w:pPr>
      <w:r>
        <w:t xml:space="preserve">The Pacific Herring Spawn Index Data are an official relative index with documented observation and measurement caveats</w:t>
      </w:r>
      <w:r>
        <w:t xml:space="preserve"> </w:t>
      </w:r>
      <w:r>
        <w:t xml:space="preserve">(</w:t>
      </w:r>
      <w:hyperlink w:anchor="ref-grinnell2023">
        <w:r>
          <w:rPr>
            <w:rStyle w:val="Hyperlink"/>
          </w:rPr>
          <w:t xml:space="preserve">Grinnell et al. 2023</w:t>
        </w:r>
      </w:hyperlink>
      <w:r>
        <w:t xml:space="preserve">;</w:t>
      </w:r>
      <w:r>
        <w:t xml:space="preserve"> </w:t>
      </w:r>
      <w:hyperlink w:anchor="ref-dfo_spawn_data">
        <w:r>
          <w:rPr>
            <w:rStyle w:val="Hyperlink"/>
          </w:rPr>
          <w:t xml:space="preserve">Fisheries and Oceans Canada 2026</w:t>
        </w:r>
      </w:hyperlink>
      <w:r>
        <w:t xml:space="preserve">)</w:t>
      </w:r>
      <w:r>
        <w:t xml:space="preserve">. Surveyed-positive, surveyed-negative, and unmonitored-unknown states are distinct. The literal regional code</w:t>
      </w:r>
      <w:r>
        <w:t xml:space="preserve"> </w:t>
      </w:r>
      <w:r>
        <w:rPr>
          <w:rStyle w:val="VerbatimChar"/>
        </w:rPr>
        <w:t xml:space="preserve">NA</w:t>
      </w:r>
      <w:r>
        <w:t xml:space="preserve"> </w:t>
      </w:r>
      <w:r>
        <w:t xml:space="preserve">denotes the registered North region in the analysis registry; it is not a missing value. Missing herring components are not zero.</w:t>
      </w:r>
    </w:p>
    <w:p>
      <w:pPr>
        <w:pStyle w:val="BodyText"/>
      </w:pPr>
      <w:r>
        <w:t xml:space="preserve">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bookmarkEnd w:id="40"/>
    <w:bookmarkStart w:id="41" w:name="X0f6b22ba3c42b132ef3bb8640644e51dd2fb2d0"/>
    <w:p>
      <w:pPr>
        <w:pStyle w:val="Heading1"/>
      </w:pPr>
      <w:r>
        <w:t xml:space="preserve">10. Reproducibility, provenance, and artifact hashes</w:t>
      </w:r>
    </w:p>
    <w:p>
      <w:pPr>
        <w:pStyle w:val="FirstParagraph"/>
      </w:pPr>
      <w:r>
        <w:t xml:space="preserve">Supplementary Table S10 (</w:t>
      </w:r>
      <w:r>
        <w:rPr>
          <w:rStyle w:val="VerbatimChar"/>
        </w:rPr>
        <w:t xml:space="preserve">../metadata/stage4a_manuscript_artifact_manifest_v2.csv</w:t>
      </w:r>
      <w:r>
        <w:t xml:space="preserve">) records the SHA-256 and byte size of the submission artifacts after rendering. The table/figure provenance registry (</w:t>
      </w:r>
      <w:r>
        <w:rPr>
          <w:rStyle w:val="VerbatimChar"/>
        </w:rPr>
        <w:t xml:space="preserve">../metadata/stage4a_publication_table_figure_provenance_v2.csv</w:t>
      </w:r>
      <w:r>
        <w:t xml:space="preserve">) records each manuscript artifact, location, source file and hash, generation script and commit, filters, model or family IDs, caption, and privacy class.</w:t>
      </w:r>
    </w:p>
    <w:p>
      <w:pPr>
        <w:pStyle w:val="BodyText"/>
      </w:pPr>
      <w:r>
        <w:t xml:space="preserve">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bookmarkEnd w:id="41"/>
    <w:bookmarkStart w:id="47" w:name="references"/>
    <w:p>
      <w:pPr>
        <w:pStyle w:val="Heading1"/>
      </w:pPr>
      <w:r>
        <w:t xml:space="preserve">11. References</w:t>
      </w:r>
    </w:p>
    <w:bookmarkStart w:id="46" w:name="refs"/>
    <w:bookmarkStart w:id="43" w:name="ref-dfo_spawn_data"/>
    <w:p>
      <w:pPr>
        <w:pStyle w:val="Bibliography"/>
      </w:pPr>
      <w:r>
        <w:t xml:space="preserve">Fisheries and Oceans Canada. 2026.</w:t>
      </w:r>
      <w:r>
        <w:t xml:space="preserve"> </w:t>
      </w:r>
      <w:r>
        <w:t xml:space="preserve">“Pacific Herring Spawn Index Data.”</w:t>
      </w:r>
      <w:r>
        <w:t xml:space="preserve"> </w:t>
      </w:r>
      <w:r>
        <w:t xml:space="preserve">Open Government Portal, record d892511c-d851-4f85-a0ec-708bc05d2810.</w:t>
      </w:r>
      <w:r>
        <w:t xml:space="preserve"> </w:t>
      </w:r>
      <w:hyperlink r:id="rId42">
        <w:r>
          <w:rPr>
            <w:rStyle w:val="Hyperlink"/>
          </w:rPr>
          <w:t xml:space="preserve">https://open.canada.ca/data/en/dataset/d892511c-d851-4f85-a0ec-708bc05d2810</w:t>
        </w:r>
      </w:hyperlink>
      <w:r>
        <w:t xml:space="preserve">.</w:t>
      </w:r>
    </w:p>
    <w:bookmarkEnd w:id="43"/>
    <w:bookmarkStart w:id="45" w:name="ref-grinnell2023"/>
    <w:p>
      <w:pPr>
        <w:pStyle w:val="Bibliography"/>
      </w:pPr>
      <w:r>
        <w:t xml:space="preserve">Grinnell, M. H., J. F. Schweigert, M. Thompson, S. Hawkshaw, and J. S. Cleary. 2023.</w:t>
      </w:r>
      <w:r>
        <w:t xml:space="preserve"> </w:t>
      </w:r>
      <w:r>
        <w:t xml:space="preserve">“Calculating the Spawn Index for Pacific Herring (Clupea Pallasii) in British Columbia, Canada.”</w:t>
      </w:r>
      <w:r>
        <w:t xml:space="preserve"> </w:t>
      </w:r>
      <w:r>
        <w:t xml:space="preserve">Canadian Technical Report of Fisheries and Aquatic Sciences 3489. Fisheries; Oceans Canada.</w:t>
      </w:r>
      <w:r>
        <w:t xml:space="preserve"> </w:t>
      </w:r>
      <w:hyperlink r:id="rId44">
        <w:r>
          <w:rPr>
            <w:rStyle w:val="Hyperlink"/>
          </w:rPr>
          <w:t xml:space="preserve">https://publications.gc.ca/site/eng/9.912189/publication.html</w:t>
        </w:r>
      </w:hyperlink>
      <w:r>
        <w:t xml:space="preserve">.</w:t>
      </w:r>
    </w:p>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42" Target="https://open.canada.ca/data/en/dataset/d892511c-d851-4f85-a0ec-708bc05d2810" TargetMode="External" /><Relationship Type="http://schemas.openxmlformats.org/officeDocument/2006/relationships/hyperlink" Id="rId44" Target="https://publications.gc.ca/site/eng/9.912189/publication.html" TargetMode="External" /></Relationships>
</file>

<file path=word/_rels/footnotes.xml.rels><?xml version="1.0" encoding="UTF-8"?><Relationships xmlns="http://schemas.openxmlformats.org/package/2006/relationships"><Relationship Type="http://schemas.openxmlformats.org/officeDocument/2006/relationships/hyperlink" Id="rId42" Target="https://open.canada.ca/data/en/dataset/d892511c-d851-4f85-a0ec-708bc05d2810" TargetMode="External" /><Relationship Type="http://schemas.openxmlformats.org/officeDocument/2006/relationships/hyperlink" Id="rId44" Target="https://publications.gc.ca/site/eng/9.912189/public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Checklist-conditional bird associations with Pacific herring spawn</dc:title>
  <dc:creator>[AUTHOR LIST REQUIRED]</dc:creator>
  <dc:language>en</dc:language>
  <cp:keywords/>
  <dcterms:created xsi:type="dcterms:W3CDTF">2026-07-22T05:14:32Z</dcterms:created>
  <dcterms:modified xsi:type="dcterms:W3CDTF">2026-07-22T05:14:32Z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../references/stage4a_manuscript_references_v2.bib</vt:lpwstr>
  </property>
  <property fmtid="{D5CDD505-2E9C-101B-9397-08002B2CF9AE}" pid="5" name="by-author">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subtitle">
    <vt:lpwstr>Stage 4A v2 analysis freeze</vt:lpwstr>
  </property>
  <property fmtid="{D5CDD505-2E9C-101B-9397-08002B2CF9AE}" pid="13" name="toc-title">
    <vt:lpwstr>Table of contents</vt:lpwstr>
  </property>
</Properties>
</file>