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Pacific herring (</w:t>
      </w:r>
      <w:r>
        <w:rPr>
          <w:i/>
          <w:iCs/>
        </w:rPr>
        <w:t xml:space="preserve">Clupea pallasii</w:t>
      </w:r>
      <w:r>
        <w:t xml:space="preserve">) spawning creates a concentrated coastal resource pulse. We asked how checklist detection and finite positive reported flock size were associated with recorded local spawning among eligible complete eBird checklists. Event-level Fisheries and Oceans Canada records were linked to 217,200 Strait of Georgia checklists (2005–2025) and 8,584 West Coast Vancouver Island checklists (2015–2025). The primary released species coefficient compared active-near checklists (0–28 days, &lt;5 km) with an omitted other exposure class, conditional on effort, year, event-time, distance, and available clustering structure. Associations were heterogeneous across 49 support-qualified species. In the Strait of Georgia, Surf Scoter detection odds were 1.20 times higher (95% CI 1.12–1.30) and conditional positive counts were 1.71 times higher (1.52–1.93) for active-near than other checklists; corresponding West Coast Vancouver Island ratios were 2.65 (1.98–3.54) and 3.23 (2.20–4.73). Detection and count components often differed, and six registered event windows showed no shared trajectory. Specificity comparators were also non-null in the Strait of Georgia: Gadwall odds ratio 1.26 (1.14–1.40) and Northern Shoveler 1.87 (1.69–2.07). Complete community-science checklists can reveal event-linked marine resource-pulse associations, but attribution remains limited by phenology, habitat, observer behavior, exposure classification, and legacy engine provenance.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2026-07-23T00:50:53Z</dcterms:created>
  <dcterms:modified xsi:type="dcterms:W3CDTF">2026-07-23T00:50:53Z</dcterms:modified>
</cp:coreProperties>
</file>

<file path=docProps/custom.xml><?xml version="1.0" encoding="utf-8"?>
<Properties xmlns="http://schemas.openxmlformats.org/officeDocument/2006/custom-properties" xmlns:vt="http://schemas.openxmlformats.org/officeDocument/2006/docPropsVTypes"/>
</file>