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22 July 2026</w:t>
      </w:r>
    </w:p>
    <w:p>
      <w:pPr>
        <w:pStyle w:val="BodyText"/>
      </w:pPr>
      <w:r>
        <w:t xml:space="preserve">Editor</w:t>
      </w:r>
      <w:r>
        <w:br/>
      </w:r>
      <w:r>
        <w:t xml:space="preserve">Marine Environmental Research</w:t>
      </w:r>
    </w:p>
    <w:p>
      <w:pPr>
        <w:pStyle w:val="BodyText"/>
      </w:pPr>
      <w:r>
        <w:t xml:space="preserve">Dear Editor,</w:t>
      </w:r>
    </w:p>
    <w:p>
      <w:pPr>
        <w:pStyle w:val="BodyText"/>
      </w:pPr>
      <w:r>
        <w:t xml:space="preserve">Please consider the Full-length Article “Event-linked coastal bird checklist associations with recorded Pacific herring spawning in British Columbia.”</w:t>
      </w:r>
    </w:p>
    <w:p>
      <w:pPr>
        <w:pStyle w:val="BodyText"/>
      </w:pPr>
      <w:r>
        <w:t xml:space="preserve">The study links complete eBird checklists to event-level Fisheries and Oceans Canada Pacific herring spawn records and asks how checklist detection and finite positive reported flock size were associated with recorded local spawning. The principal regional frames contain 217,200 Strait of Georgia and 8,584 West Coast Vancouver Island checklists through 2025. All 49 support-qualified species are reported, with selected individual species leading the ecological presentation and guilds providing a complementary synthesis.</w:t>
      </w:r>
    </w:p>
    <w:p>
      <w:pPr>
        <w:pStyle w:val="BodyText"/>
      </w:pPr>
      <w:r>
        <w:t xml:space="preserve">The main findings are heterogeneous rather than universal. Surf Scoter and Short-billed Gull show positive detection and conditional-count associations in both main regions, while other common shore and sea birds differ by response component or region. Six registered event windows do not yield one shared community trajectory. Gadwall and Northern Shoveler specificity comparators are non-null in the Strait of Georgia, showing that the recorded active-near signal is not unique to plausible direct herring consumers. The paper therefore treats complete community-science checklists as capable of revealing event-linked associations while retaining limits from phenology, habitat, observer behavior, exposure classification, and engine provenance.</w:t>
      </w:r>
    </w:p>
    <w:p>
      <w:pPr>
        <w:pStyle w:val="BodyText"/>
      </w:pPr>
      <w:r>
        <w:t xml:space="preserve">The analysis is frozen. V3 manuscript assembly did not fit or refit a response model, access protected response or coordinate records, read 2026+ responses, or alter any frozen analysis artifact. The package includes privacy-safe region-level maps, complete supplementary species results, all diagnostic and non-estimable states, a claim-to-evidence matrix, and figure/table provenance.</w:t>
      </w:r>
    </w:p>
    <w:p>
      <w:pPr>
        <w:pStyle w:val="BodyText"/>
      </w:pPr>
      <w:r>
        <w:t xml:space="preserve">This manuscript is original, is not under consideration elsewhere [AUTHOR TO CONFIRM], and has one author. The author declares no competing interest and received no external funding.</w:t>
      </w:r>
    </w:p>
    <w:p>
      <w:pPr>
        <w:pStyle w:val="BodyText"/>
      </w:pPr>
      <w:r>
        <w:t xml:space="preserve">Sincerely,</w:t>
      </w:r>
    </w:p>
    <w:p>
      <w:pPr>
        <w:pStyle w:val="BodyText"/>
      </w:pPr>
      <w:r>
        <w:t xml:space="preserve">Jacob T. Dingwall</w:t>
      </w:r>
      <w:r>
        <w:br/>
      </w:r>
      <w:r>
        <w:t xml:space="preserve">University of Victoria</w:t>
      </w:r>
      <w:r>
        <w:br/>
      </w:r>
      <w:hyperlink r:id="rId20">
        <w:r>
          <w:rPr>
            <w:rStyle w:val="Hyperlink"/>
          </w:rPr>
          <w:t xml:space="preserve">dingwalljake@gmail.com</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dingwalljake@gmail.com" TargetMode="External" /></Relationships>
</file>

<file path=word/_rels/footnotes.xml.rels><?xml version="1.0" encoding="UTF-8"?><Relationships xmlns="http://schemas.openxmlformats.org/package/2006/relationships"><Relationship Type="http://schemas.openxmlformats.org/officeDocument/2006/relationships/hyperlink" Id="rId20" Target="mailto:dingwalljake@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2026-07-23T00:50:53Z</dcterms:created>
  <dcterms:modified xsi:type="dcterms:W3CDTF">2026-07-23T00:50:53Z</dcterms:modified>
</cp:coreProperties>
</file>

<file path=docProps/custom.xml><?xml version="1.0" encoding="utf-8"?>
<Properties xmlns="http://schemas.openxmlformats.org/officeDocument/2006/custom-properties" xmlns:vt="http://schemas.openxmlformats.org/officeDocument/2006/docPropsVTypes"/>
</file>