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57E9" w14:textId="77777777" w:rsidR="00421AE3" w:rsidRDefault="00611FDF">
      <w:pPr>
        <w:pStyle w:val="Title"/>
      </w:pPr>
      <w:r>
        <w:t>Supplementary material: Event-linked coastal bird checklist associations with recorded Pacific herring spawning in British Columbia</w:t>
      </w:r>
    </w:p>
    <w:p w14:paraId="5BF57549" w14:textId="77777777" w:rsidR="00421AE3" w:rsidRDefault="00611FDF">
      <w:pPr>
        <w:pStyle w:val="Author"/>
      </w:pPr>
      <w:r>
        <w:t>Anonymous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19284483"/>
        <w:docPartObj>
          <w:docPartGallery w:val="Table of Contents"/>
          <w:docPartUnique/>
        </w:docPartObj>
      </w:sdtPr>
      <w:sdtEndPr/>
      <w:sdtContent>
        <w:p w14:paraId="72A16415" w14:textId="77777777" w:rsidR="00421AE3" w:rsidRDefault="00611FDF">
          <w:pPr>
            <w:pStyle w:val="TOCHeading"/>
          </w:pPr>
          <w:r>
            <w:t>Table of contents</w:t>
          </w:r>
        </w:p>
        <w:p w14:paraId="34896F6B" w14:textId="77777777" w:rsidR="008750B2" w:rsidRDefault="00611FD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635505" w:history="1">
            <w:r w:rsidR="008750B2" w:rsidRPr="00734ABE">
              <w:rPr>
                <w:rStyle w:val="Hyperlink"/>
                <w:noProof/>
              </w:rPr>
              <w:t>1. Scope and reading guide</w:t>
            </w:r>
            <w:r w:rsidR="008750B2">
              <w:rPr>
                <w:noProof/>
                <w:webHidden/>
              </w:rPr>
              <w:tab/>
            </w:r>
            <w:r w:rsidR="008750B2">
              <w:rPr>
                <w:noProof/>
                <w:webHidden/>
              </w:rPr>
              <w:fldChar w:fldCharType="begin"/>
            </w:r>
            <w:r w:rsidR="008750B2">
              <w:rPr>
                <w:noProof/>
                <w:webHidden/>
              </w:rPr>
              <w:instrText xml:space="preserve"> PAGEREF _Toc235635505 \h </w:instrText>
            </w:r>
            <w:r w:rsidR="008750B2">
              <w:rPr>
                <w:noProof/>
                <w:webHidden/>
              </w:rPr>
            </w:r>
            <w:r w:rsidR="008750B2">
              <w:rPr>
                <w:noProof/>
                <w:webHidden/>
              </w:rPr>
              <w:fldChar w:fldCharType="separate"/>
            </w:r>
            <w:r w:rsidR="008750B2">
              <w:rPr>
                <w:noProof/>
                <w:webHidden/>
              </w:rPr>
              <w:t>1</w:t>
            </w:r>
            <w:r w:rsidR="008750B2">
              <w:rPr>
                <w:noProof/>
                <w:webHidden/>
              </w:rPr>
              <w:fldChar w:fldCharType="end"/>
            </w:r>
          </w:hyperlink>
        </w:p>
        <w:p w14:paraId="17842408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6" w:history="1">
            <w:r w:rsidRPr="00734ABE">
              <w:rPr>
                <w:rStyle w:val="Hyperlink"/>
                <w:noProof/>
              </w:rPr>
              <w:t>2. Estimand and engine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F74F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7" w:history="1">
            <w:r w:rsidRPr="00734ABE">
              <w:rPr>
                <w:rStyle w:val="Hyperlink"/>
                <w:noProof/>
              </w:rPr>
              <w:t>3. Descriptive outputs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7893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8" w:history="1">
            <w:r w:rsidRPr="00734ABE">
              <w:rPr>
                <w:rStyle w:val="Hyperlink"/>
                <w:noProof/>
              </w:rPr>
              <w:t>4. Complete species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884D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9" w:history="1">
            <w:r w:rsidRPr="00734ABE">
              <w:rPr>
                <w:rStyle w:val="Hyperlink"/>
                <w:noProof/>
              </w:rPr>
              <w:t>5. Guild synthesis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D734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0" w:history="1">
            <w:r w:rsidRPr="00734ABE">
              <w:rPr>
                <w:rStyle w:val="Hyperlink"/>
                <w:noProof/>
              </w:rPr>
              <w:t>6. Event windows, distance rings, and temporal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A894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1" w:history="1">
            <w:r w:rsidRPr="00734ABE">
              <w:rPr>
                <w:rStyle w:val="Hyperlink"/>
                <w:noProof/>
              </w:rPr>
              <w:t>7. Specificity, sensitivity, and placebos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0291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2" w:history="1">
            <w:r w:rsidRPr="00734ABE">
              <w:rPr>
                <w:rStyle w:val="Hyperlink"/>
                <w:noProof/>
              </w:rPr>
              <w:t>8. Completion, geometry, and warning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557B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3" w:history="1">
            <w:r w:rsidRPr="00734ABE">
              <w:rPr>
                <w:rStyle w:val="Hyperlink"/>
                <w:noProof/>
              </w:rPr>
              <w:t>9. Positive-count sensitivity and ambiguity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4439A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4" w:history="1">
            <w:r w:rsidRPr="00734ABE">
              <w:rPr>
                <w:rStyle w:val="Hyperlink"/>
                <w:noProof/>
              </w:rPr>
              <w:t>10. Compatible-family pooling repair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1E59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5" w:history="1">
            <w:r w:rsidRPr="00734ABE">
              <w:rPr>
                <w:rStyle w:val="Hyperlink"/>
                <w:noProof/>
              </w:rPr>
              <w:t>11. Figure and table provenance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30709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6" w:history="1">
            <w:r w:rsidRPr="00734ABE">
              <w:rPr>
                <w:rStyle w:val="Hyperlink"/>
                <w:noProof/>
              </w:rPr>
              <w:t>12. Reproducibility and governance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C1C8" w14:textId="77777777" w:rsidR="008750B2" w:rsidRDefault="008750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17" w:history="1">
            <w:r w:rsidRPr="00734ABE">
              <w:rPr>
                <w:rStyle w:val="Hyperlink"/>
                <w:noProof/>
              </w:rPr>
              <w:t>13. Supplementary file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E382" w14:textId="77777777" w:rsidR="00421AE3" w:rsidRDefault="00611FDF">
          <w:r>
            <w:fldChar w:fldCharType="end"/>
          </w:r>
        </w:p>
      </w:sdtContent>
    </w:sdt>
    <w:p w14:paraId="456BC180" w14:textId="77777777" w:rsidR="00421AE3" w:rsidRDefault="00611FDF">
      <w:pPr>
        <w:pStyle w:val="Heading1"/>
      </w:pPr>
      <w:bookmarkStart w:id="0" w:name="scope-and-reading-guide"/>
      <w:bookmarkStart w:id="1" w:name="_Toc235635505"/>
      <w:r>
        <w:t>1. Scope and reading guide</w:t>
      </w:r>
      <w:bookmarkEnd w:id="1"/>
    </w:p>
    <w:p w14:paraId="51EB2C15" w14:textId="77777777" w:rsidR="00421AE3" w:rsidRDefault="00611FDF">
      <w:pPr>
        <w:pStyle w:val="FirstParagraph"/>
      </w:pPr>
      <w:r>
        <w:t>This supplement preserves complete released evidence and technical qualification for the v3 manuscript. It was assembled from tracked privacy-safe aggregate outputs. No protected response table, checklist coordinate, observer identity, locality, event token, model object, or transformation mapping was opened. No response model was fitted or refitted.</w:t>
      </w:r>
    </w:p>
    <w:p w14:paraId="460700A3" w14:textId="77777777" w:rsidR="00421AE3" w:rsidRDefault="00611FDF">
      <w:pPr>
        <w:pStyle w:val="BodyText"/>
      </w:pPr>
      <w:r>
        <w:t xml:space="preserve">The main manuscript leads with selected individual species. Supplementary CSV files retain all 49 support-qualified species, all released event-window and distance-ring support, complete model and sensitivity components, failed and non-estimable states, </w:t>
      </w:r>
      <w:r>
        <w:lastRenderedPageBreak/>
        <w:t>singular and rank-deficient warnings, the zero-truncated count sensitivity, pooling-repair records, validation, and provenance.</w:t>
      </w:r>
    </w:p>
    <w:p w14:paraId="15B05358" w14:textId="77777777" w:rsidR="00421AE3" w:rsidRDefault="00611FDF">
      <w:pPr>
        <w:pStyle w:val="Heading1"/>
      </w:pPr>
      <w:bookmarkStart w:id="2" w:name="estimand-and-engine-detail"/>
      <w:bookmarkStart w:id="3" w:name="_Toc235635506"/>
      <w:bookmarkEnd w:id="0"/>
      <w:r>
        <w:t>2. Estimand and engine detail</w:t>
      </w:r>
      <w:bookmarkEnd w:id="3"/>
    </w:p>
    <w:p w14:paraId="287A208D" w14:textId="77777777" w:rsidR="00421AE3" w:rsidRDefault="00611FDF">
      <w:pPr>
        <w:pStyle w:val="FirstParagraph"/>
      </w:pPr>
      <w:r>
        <w:t xml:space="preserve">The primary coding audit is supplied as </w:t>
      </w:r>
      <w:r>
        <w:rPr>
          <w:rStyle w:val="VerbatimChar"/>
        </w:rPr>
        <w:t>audits/primary_estimand_and_engine_audit_v3.md</w:t>
      </w:r>
      <w:r>
        <w:t>. The exact M01/M02/M29 coefficient is active-near versus the omitted other class. M08 is active minus contemporaneous reference. Active and reference are mutually exclusive, while time and distance terms are additive counts over concurrent links.</w:t>
      </w:r>
    </w:p>
    <w:p w14:paraId="703F82EF" w14:textId="77777777" w:rsidR="00421AE3" w:rsidRDefault="00611FDF">
      <w:pPr>
        <w:pStyle w:val="BodyText"/>
      </w:pPr>
      <w:r>
        <w:t xml:space="preserve">The final </w:t>
      </w:r>
      <w:r>
        <w:rPr>
          <w:rStyle w:val="VerbatimChar"/>
        </w:rPr>
        <w:t>M01_PRIMARY_v2</w:t>
      </w:r>
      <w:r>
        <w:t xml:space="preserve">, M27/M28, WCVI 2-km, and dominant-observer components used sparse </w:t>
      </w:r>
      <w:r>
        <w:rPr>
          <w:rStyle w:val="VerbatimChar"/>
        </w:rPr>
        <w:t>lme4</w:t>
      </w:r>
      <w:r>
        <w:t xml:space="preserve"> mixed models without simplified fallback. Legacy M02, M05, M08, and M29 code attempted </w:t>
      </w:r>
      <w:r>
        <w:rPr>
          <w:rStyle w:val="VerbatimChar"/>
        </w:rPr>
        <w:t>mgcv::bam</w:t>
      </w:r>
      <w:r>
        <w:t xml:space="preserve"> </w:t>
      </w:r>
      <w:r>
        <w:t>and permitted fixed-effect fallback. The public aggregate release does not identify the engine used by each legacy component. V3 therefore avoids calling those components uniformly mixed-model estimates.</w:t>
      </w:r>
    </w:p>
    <w:p w14:paraId="4F8EF020" w14:textId="77777777" w:rsidR="00421AE3" w:rsidRDefault="00611FDF">
      <w:pPr>
        <w:pStyle w:val="BodyText"/>
      </w:pPr>
      <w:r>
        <w:rPr>
          <w:noProof/>
        </w:rPr>
        <w:drawing>
          <wp:inline distT="0" distB="0" distL="0" distR="0" wp14:anchorId="3B7B6273" wp14:editId="077CBC95">
            <wp:extent cx="5334000" cy="31115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./figures_v3/Figure_S1_exposure_design_v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EEBA5" w14:textId="77777777" w:rsidR="00421AE3" w:rsidRDefault="00611FDF">
      <w:pPr>
        <w:pStyle w:val="BodyText"/>
      </w:pPr>
      <w:r>
        <w:rPr>
          <w:b/>
          <w:bCs/>
        </w:rPr>
        <w:t>Figure S1. Exposure design and geometry limitation.</w:t>
      </w:r>
      <w:r>
        <w:t xml:space="preserve"> The schematic contains no spatial records.</w:t>
      </w:r>
    </w:p>
    <w:p w14:paraId="20C2E1A0" w14:textId="77777777" w:rsidR="00421AE3" w:rsidRDefault="00611FDF">
      <w:pPr>
        <w:pStyle w:val="Heading1"/>
      </w:pPr>
      <w:bookmarkStart w:id="4" w:name="descriptive-outputs-and-availability"/>
      <w:bookmarkStart w:id="5" w:name="_Toc235635507"/>
      <w:bookmarkEnd w:id="2"/>
      <w:r>
        <w:t>3. Descriptive outputs and availability</w:t>
      </w:r>
      <w:bookmarkEnd w:id="5"/>
    </w:p>
    <w:p w14:paraId="6F5671F1" w14:textId="77777777" w:rsidR="00421AE3" w:rsidRDefault="00611FDF">
      <w:pPr>
        <w:pStyle w:val="FirstParagraph"/>
      </w:pPr>
      <w:r>
        <w:t>Four machine-readable v3 tables distinguish available summaries from fields that would require a new aggregate-only authorization:</w:t>
      </w:r>
    </w:p>
    <w:p w14:paraId="625E1AF1" w14:textId="77777777" w:rsidR="00421AE3" w:rsidRDefault="00611FDF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tables_v3/descriptive_statistics_v3.csv</w:t>
      </w:r>
      <w:r>
        <w:t>: 128 region-metric rows for checklist, exposure, event, observer, effort, window, and ring support;</w:t>
      </w:r>
    </w:p>
    <w:p w14:paraId="4F3C7B13" w14:textId="77777777" w:rsidR="00421AE3" w:rsidRDefault="00611FDF">
      <w:pPr>
        <w:pStyle w:val="Compact"/>
        <w:numPr>
          <w:ilvl w:val="0"/>
          <w:numId w:val="2"/>
        </w:numPr>
      </w:pPr>
      <w:r>
        <w:rPr>
          <w:rStyle w:val="VerbatimChar"/>
        </w:rPr>
        <w:t>tables_v3/species_descriptive_summary_v3.csv</w:t>
      </w:r>
      <w:r>
        <w:t>: 196 region-by-species rows for 49 species in four released regions;</w:t>
      </w:r>
    </w:p>
    <w:p w14:paraId="5E4A547A" w14:textId="77777777" w:rsidR="00421AE3" w:rsidRDefault="00611FDF">
      <w:pPr>
        <w:pStyle w:val="Compact"/>
        <w:numPr>
          <w:ilvl w:val="0"/>
          <w:numId w:val="2"/>
        </w:numPr>
      </w:pPr>
      <w:r>
        <w:rPr>
          <w:rStyle w:val="VerbatimChar"/>
        </w:rPr>
        <w:t>tables_v3/guild_descriptive_summary_v3.csv</w:t>
      </w:r>
      <w:r>
        <w:t>: 32 region-by-guild rows for eight guilds; and</w:t>
      </w:r>
    </w:p>
    <w:p w14:paraId="6497BE96" w14:textId="77777777" w:rsidR="00421AE3" w:rsidRDefault="00611FDF">
      <w:pPr>
        <w:pStyle w:val="Compact"/>
        <w:numPr>
          <w:ilvl w:val="0"/>
          <w:numId w:val="2"/>
        </w:numPr>
      </w:pPr>
      <w:r>
        <w:rPr>
          <w:rStyle w:val="VerbatimChar"/>
        </w:rPr>
        <w:t>tables_v3/herring_event_descriptive_summary_v3.csv</w:t>
      </w:r>
      <w:r>
        <w:t>: 92 region-metric rows for recorded-event support.</w:t>
      </w:r>
    </w:p>
    <w:p w14:paraId="2C775A68" w14:textId="77777777" w:rsidR="00421AE3" w:rsidRDefault="00611FDF">
      <w:pPr>
        <w:pStyle w:val="FirstParagraph"/>
      </w:pPr>
      <w:r>
        <w:t>Regional positive-count quartiles, regional X/lower-bound/ambiguity counts, taxon-by-exposure raw prevalence and counts, concurrent-link distributions, event-date distributions, and fine spatial cells were not in the public release. Those fields remain explicitly unavailable. Pooled Stage 2 count quantiles are labeled support-only and are not described as regional Stage 4A summaries.</w:t>
      </w:r>
    </w:p>
    <w:p w14:paraId="79D4206B" w14:textId="77777777" w:rsidR="00421AE3" w:rsidRDefault="00611FDF">
      <w:pPr>
        <w:pStyle w:val="BodyText"/>
      </w:pPr>
      <w:r>
        <w:rPr>
          <w:noProof/>
        </w:rPr>
        <w:drawing>
          <wp:inline distT="0" distB="0" distL="0" distR="0" wp14:anchorId="575B5BB2" wp14:editId="66D9A503">
            <wp:extent cx="5334000" cy="429683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./figures_v3/Figure_S2_sampling_support_map_v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CA480" w14:textId="77777777" w:rsidR="00421AE3" w:rsidRDefault="00611FDF">
      <w:pPr>
        <w:pStyle w:val="BodyText"/>
      </w:pPr>
      <w:r>
        <w:rPr>
          <w:b/>
          <w:bCs/>
        </w:rPr>
        <w:t>Figure S2. Region-level active and reference support.</w:t>
      </w:r>
      <w:r>
        <w:t xml:space="preserve"> </w:t>
      </w:r>
      <w:r>
        <w:t>Display anchors are not data coordinates. All displayed regional cells exceed n = 20.</w:t>
      </w:r>
    </w:p>
    <w:p w14:paraId="666FB79C" w14:textId="77777777" w:rsidR="00421AE3" w:rsidRDefault="00611FDF">
      <w:pPr>
        <w:pStyle w:val="Heading1"/>
      </w:pPr>
      <w:bookmarkStart w:id="6" w:name="complete-species-evidence"/>
      <w:bookmarkStart w:id="7" w:name="_Toc235635508"/>
      <w:bookmarkEnd w:id="4"/>
      <w:r>
        <w:t>4. Complete species evidence</w:t>
      </w:r>
      <w:bookmarkEnd w:id="7"/>
    </w:p>
    <w:p w14:paraId="66E3D833" w14:textId="77777777" w:rsidR="00421AE3" w:rsidRDefault="00611FDF">
      <w:pPr>
        <w:pStyle w:val="FirstParagraph"/>
      </w:pPr>
      <w:r>
        <w:t xml:space="preserve">The full M02 effect table is versioned as </w:t>
      </w:r>
      <w:r>
        <w:rPr>
          <w:rStyle w:val="VerbatimChar"/>
        </w:rPr>
        <w:t>tables_v3/Table_S1_all_species_effects_v3.csv</w:t>
      </w:r>
      <w:r>
        <w:t>. It retains 49 species, four released regions, two response components where estimable, BH q-values, component sample sizes, and explicit noncompletion. The descriptive companion contains detection prevalence and numeric availability by region plus pooled X, ambiguity, support, and flock-size quantiles.</w:t>
      </w:r>
    </w:p>
    <w:p w14:paraId="4DEA1862" w14:textId="77777777" w:rsidR="00421AE3" w:rsidRDefault="00611FDF">
      <w:pPr>
        <w:pStyle w:val="BodyText"/>
      </w:pPr>
      <w:r>
        <w:rPr>
          <w:noProof/>
        </w:rPr>
        <w:drawing>
          <wp:inline distT="0" distB="0" distL="0" distR="0" wp14:anchorId="469C4CC4" wp14:editId="7539CB86">
            <wp:extent cx="5334000" cy="75565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./figures_v3/Figure_S3_complete_species_matrix_v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64B1C" w14:textId="77777777" w:rsidR="00421AE3" w:rsidRDefault="00611FDF">
      <w:pPr>
        <w:pStyle w:val="BodyText"/>
      </w:pPr>
      <w:r>
        <w:rPr>
          <w:b/>
          <w:bCs/>
        </w:rPr>
        <w:t>Figure S3. Complete 49-species coefficient matrix.</w:t>
      </w:r>
      <w:r>
        <w:t xml:space="preserve"> Values are frozen M02 coefficients for active-near versus other. An asterisk indicates BH q &lt; 0.05. The noncompleted component remains NA.</w:t>
      </w:r>
    </w:p>
    <w:p w14:paraId="746C2D09" w14:textId="77777777" w:rsidR="00421AE3" w:rsidRDefault="00611FDF">
      <w:pPr>
        <w:pStyle w:val="BodyText"/>
      </w:pPr>
      <w:r>
        <w:t>Negative values, broad intervals, failed components, and taxa without a dedicated herring literature remain visible. The matrix is a completeness display, not an ecological mechanism assignment.</w:t>
      </w:r>
    </w:p>
    <w:p w14:paraId="7508B77D" w14:textId="77777777" w:rsidR="00421AE3" w:rsidRDefault="00611FDF">
      <w:pPr>
        <w:pStyle w:val="Heading1"/>
      </w:pPr>
      <w:bookmarkStart w:id="8" w:name="guild-synthesis"/>
      <w:bookmarkStart w:id="9" w:name="_Toc235635509"/>
      <w:bookmarkEnd w:id="6"/>
      <w:r>
        <w:t>5. Guild synthesis</w:t>
      </w:r>
      <w:bookmarkEnd w:id="9"/>
    </w:p>
    <w:p w14:paraId="6A74351D" w14:textId="77777777" w:rsidR="00421AE3" w:rsidRDefault="00611FDF">
      <w:pPr>
        <w:pStyle w:val="FirstParagraph"/>
      </w:pPr>
      <w:r>
        <w:t xml:space="preserve">Guild membership and mechanism descriptions are in </w:t>
      </w:r>
      <w:r>
        <w:rPr>
          <w:rStyle w:val="VerbatimChar"/>
        </w:rPr>
        <w:t>metadata/species_primary_guild.csv</w:t>
      </w:r>
      <w:r>
        <w:t xml:space="preserve"> and </w:t>
      </w:r>
      <w:r>
        <w:rPr>
          <w:rStyle w:val="VerbatimChar"/>
        </w:rPr>
        <w:t>metadata/canonical_guild_registry.csv</w:t>
      </w:r>
      <w:r>
        <w:t>. Each species has one primary guild for aggregation, preventing duplicate contribution to guild totals. Multi-label mechanism traits remain separate metadata for future work.</w:t>
      </w:r>
    </w:p>
    <w:p w14:paraId="0726795F" w14:textId="77777777" w:rsidR="00421AE3" w:rsidRDefault="00611FDF">
      <w:pPr>
        <w:pStyle w:val="BodyText"/>
      </w:pPr>
      <w:r>
        <w:rPr>
          <w:noProof/>
        </w:rPr>
        <w:drawing>
          <wp:inline distT="0" distB="0" distL="0" distR="0" wp14:anchorId="4541C918" wp14:editId="07CC697A">
            <wp:extent cx="5334000" cy="4074583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../figures_v3/Figure_S4_guild_synthesis_v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0AF133" w14:textId="77777777" w:rsidR="00421AE3" w:rsidRDefault="00611FDF">
      <w:pPr>
        <w:pStyle w:val="BodyText"/>
      </w:pPr>
      <w:r>
        <w:rPr>
          <w:b/>
          <w:bCs/>
        </w:rPr>
        <w:t>Figure S4. Sparse M01 guild synthesis.</w:t>
      </w:r>
      <w:r>
        <w:t xml:space="preserve"> Ratios compare active-near with other. Guild averages complement rather than replace species evidence.</w:t>
      </w:r>
    </w:p>
    <w:p w14:paraId="40D41A81" w14:textId="77777777" w:rsidR="00421AE3" w:rsidRDefault="00611FDF">
      <w:pPr>
        <w:pStyle w:val="Heading1"/>
      </w:pPr>
      <w:bookmarkStart w:id="10" w:name="X40c973b7749cb53780af21dee039b770ac9952b"/>
      <w:bookmarkStart w:id="11" w:name="_Toc235635510"/>
      <w:bookmarkEnd w:id="8"/>
      <w:r>
        <w:t>6. Event windows, distance rings, and temporal support</w:t>
      </w:r>
      <w:bookmarkEnd w:id="11"/>
    </w:p>
    <w:p w14:paraId="24098CB3" w14:textId="77777777" w:rsidR="00421AE3" w:rsidRDefault="00611FDF">
      <w:pPr>
        <w:pStyle w:val="FirstParagraph"/>
      </w:pPr>
      <w:r>
        <w:t xml:space="preserve">The executed six windows were early pre-spawn (−42 to −29 d, baseline), late pre-spawn (−28 to −1), spawn start (0–3), early egg (4–14), late egg (15–28), and post-spawn (29–56). The complete 160-row guild M05 family contains five nonbaseline coefficients for eight guilds, two regions, and two response components. It is versioned as </w:t>
      </w:r>
      <w:r>
        <w:rPr>
          <w:rStyle w:val="VerbatimChar"/>
        </w:rPr>
        <w:t>tables_v3/Table_S2a_guild_event_time_effects_v3.csv</w:t>
      </w:r>
      <w:r>
        <w:t>.</w:t>
      </w:r>
    </w:p>
    <w:p w14:paraId="1D676D98" w14:textId="77777777" w:rsidR="00421AE3" w:rsidRDefault="00611FDF">
      <w:pPr>
        <w:pStyle w:val="BodyText"/>
      </w:pPr>
      <w:r>
        <w:t xml:space="preserve">The eight distance rings were 0–&lt;0.5, 0.5–&lt;1, 1–&lt;2, 2–&lt;3, 3–&lt;4, 4–&lt;5, 5–&lt;10, and 10–20 km, with the final ring omitted from the fixed formula. All released M05 time and distance components are retained in </w:t>
      </w:r>
      <w:r>
        <w:rPr>
          <w:rStyle w:val="VerbatimChar"/>
        </w:rPr>
        <w:t>tables_v3/Table_S2_all_M05_time_distance_effects_v3.csv</w:t>
      </w:r>
      <w:r>
        <w:t xml:space="preserve">; stratum support is retained in </w:t>
      </w:r>
      <w:r>
        <w:rPr>
          <w:rStyle w:val="VerbatimChar"/>
        </w:rPr>
        <w:t>descriptive_statistics_v3.csv</w:t>
      </w:r>
      <w:r>
        <w:t>. Because all concurrent links were retained, window and ring counts can overlap and must not be summed as a composition.</w:t>
      </w:r>
    </w:p>
    <w:p w14:paraId="23E42D66" w14:textId="77777777" w:rsidR="00421AE3" w:rsidRDefault="00611FDF">
      <w:pPr>
        <w:pStyle w:val="BodyText"/>
      </w:pPr>
      <w:r>
        <w:t xml:space="preserve">The response-free region-year support table is copied as </w:t>
      </w:r>
      <w:r>
        <w:rPr>
          <w:rStyle w:val="VerbatimChar"/>
        </w:rPr>
        <w:t>tables_v3/Table_S3_temporal_sampling_support_v3.csv</w:t>
      </w:r>
      <w:r>
        <w:t>. It describes sampling support, not bird-response estimates.</w:t>
      </w:r>
    </w:p>
    <w:p w14:paraId="03AE58FB" w14:textId="77777777" w:rsidR="00421AE3" w:rsidRDefault="00611FDF">
      <w:pPr>
        <w:pStyle w:val="Heading1"/>
      </w:pPr>
      <w:bookmarkStart w:id="12" w:name="specificity-sensitivity-and-placebos"/>
      <w:bookmarkStart w:id="13" w:name="_Toc235635511"/>
      <w:bookmarkEnd w:id="10"/>
      <w:r>
        <w:t>7. Specificity, sensitivity, and placebos</w:t>
      </w:r>
      <w:bookmarkEnd w:id="13"/>
    </w:p>
    <w:p w14:paraId="52984E21" w14:textId="77777777" w:rsidR="00421AE3" w:rsidRDefault="00611FDF">
      <w:pPr>
        <w:pStyle w:val="FirstParagraph"/>
      </w:pPr>
      <w:r>
        <w:t xml:space="preserve">The M29 SoG specificity panel was non-null for Gadwall and Northern Shoveler. Their coefficients, intervals, p-values, q-values, and transformed odds ratios are retained in </w:t>
      </w:r>
      <w:r>
        <w:rPr>
          <w:rStyle w:val="VerbatimChar"/>
        </w:rPr>
        <w:t>Table_4_specificity_sensitivity_v3.csv</w:t>
      </w:r>
      <w:r>
        <w:t>.</w:t>
      </w:r>
    </w:p>
    <w:p w14:paraId="37FA23A0" w14:textId="77777777" w:rsidR="00421AE3" w:rsidRDefault="00611FDF">
      <w:pPr>
        <w:pStyle w:val="BodyText"/>
      </w:pPr>
      <w:r>
        <w:rPr>
          <w:noProof/>
        </w:rPr>
        <w:drawing>
          <wp:inline distT="0" distB="0" distL="0" distR="0" wp14:anchorId="47F712EF" wp14:editId="6C9E3BB4">
            <wp:extent cx="5334000" cy="44450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../figures_v3/Figure_S5_sensitivities_placebos_v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59096" w14:textId="77777777" w:rsidR="00421AE3" w:rsidRDefault="00611FDF">
      <w:pPr>
        <w:pStyle w:val="BodyText"/>
      </w:pPr>
      <w:r>
        <w:rPr>
          <w:b/>
          <w:bCs/>
        </w:rPr>
        <w:t>Figure S5. Matched sensitivities and shifted-exposure placebos.</w:t>
      </w:r>
      <w:r>
        <w:t xml:space="preserve"> </w:t>
      </w:r>
      <w:r>
        <w:t>Placebos and biological comparators target different weaknesses. Null shifted bundles do not erase the non-null specificity panel.</w:t>
      </w:r>
    </w:p>
    <w:p w14:paraId="2BF88DB4" w14:textId="77777777" w:rsidR="00421AE3" w:rsidRDefault="00611FDF">
      <w:pPr>
        <w:pStyle w:val="BodyText"/>
      </w:pPr>
      <w:r>
        <w:t xml:space="preserve">All 128 protected v2 reference, sensitivity, and placebo components are supplied in </w:t>
      </w:r>
      <w:r>
        <w:rPr>
          <w:rStyle w:val="VerbatimChar"/>
        </w:rPr>
        <w:t>tables_v3/Table_S4_all_sensitivity_effects_v3.csv</w:t>
      </w:r>
      <w:r>
        <w:t xml:space="preserve">. Complete validation is in </w:t>
      </w:r>
      <w:r>
        <w:rPr>
          <w:rStyle w:val="VerbatimChar"/>
        </w:rPr>
        <w:t>Table_S5_all_validation_v3.csv</w:t>
      </w:r>
      <w:r>
        <w:t>. The WCVI 2-km and dominant-observer restrictions each preserved the matched-reference sign in 15 of 16 components. Forty-three components carried singular warnings.</w:t>
      </w:r>
    </w:p>
    <w:p w14:paraId="7961099B" w14:textId="77777777" w:rsidR="00421AE3" w:rsidRDefault="00611FDF">
      <w:pPr>
        <w:pStyle w:val="Heading1"/>
      </w:pPr>
      <w:bookmarkStart w:id="14" w:name="completion-geometry-and-warning-states"/>
      <w:bookmarkStart w:id="15" w:name="_Toc235635512"/>
      <w:bookmarkEnd w:id="12"/>
      <w:r>
        <w:t>8. Completion, geometry, and warning states</w:t>
      </w:r>
      <w:bookmarkEnd w:id="15"/>
    </w:p>
    <w:p w14:paraId="1ABA69A2" w14:textId="77777777" w:rsidR="00421AE3" w:rsidRDefault="00611FDF">
      <w:pPr>
        <w:pStyle w:val="FirstParagraph"/>
      </w:pPr>
      <w:r>
        <w:rPr>
          <w:noProof/>
        </w:rPr>
        <w:drawing>
          <wp:inline distT="0" distB="0" distL="0" distR="0" wp14:anchorId="0D656347" wp14:editId="059E4A14">
            <wp:extent cx="5334000" cy="35560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../figures_v3/Figure_S6_diagnostics_v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33C19" w14:textId="77777777" w:rsidR="00421AE3" w:rsidRDefault="00611FDF">
      <w:pPr>
        <w:pStyle w:val="BodyText"/>
      </w:pPr>
      <w:r>
        <w:rPr>
          <w:b/>
          <w:bCs/>
        </w:rPr>
        <w:t>Figure S6. Completion and warning states.</w:t>
      </w:r>
      <w:r>
        <w:t xml:space="preserve"> Singularity indicates limited support for part of a variance structure, not automatically an invalid coefficient. Rank-deficient, failed, and non-estimable components remain explicit.</w:t>
      </w:r>
    </w:p>
    <w:p w14:paraId="6BD57986" w14:textId="77777777" w:rsidR="00421AE3" w:rsidRDefault="00611FDF">
      <w:pPr>
        <w:pStyle w:val="BodyText"/>
      </w:pPr>
      <w:r>
        <w:t xml:space="preserve">The complete legacy geometry table is </w:t>
      </w:r>
      <w:r>
        <w:rPr>
          <w:rStyle w:val="VerbatimChar"/>
        </w:rPr>
        <w:t>tables_v3/Table_S6_model_geometry_v3.csv</w:t>
      </w:r>
      <w:r>
        <w:t xml:space="preserve">; the component singularity audit is </w:t>
      </w:r>
      <w:r>
        <w:rPr>
          <w:rStyle w:val="VerbatimChar"/>
        </w:rPr>
        <w:t>Table_S7_singular_fit_audit_v3.csv</w:t>
      </w:r>
      <w:r>
        <w:t xml:space="preserve">; and the registered model-disposition table is </w:t>
      </w:r>
      <w:r>
        <w:rPr>
          <w:rStyle w:val="VerbatimChar"/>
        </w:rPr>
        <w:t>Table_S8_model_disposition_v3.csv</w:t>
      </w:r>
      <w:r>
        <w:t>. No failed value is converted to zero. No headline claim depends exclusively on a singular component.</w:t>
      </w:r>
    </w:p>
    <w:p w14:paraId="77A3FFFD" w14:textId="77777777" w:rsidR="00421AE3" w:rsidRDefault="00611FDF">
      <w:pPr>
        <w:pStyle w:val="Heading1"/>
      </w:pPr>
      <w:bookmarkStart w:id="16" w:name="positive-count-sensitivity-and-ambiguity"/>
      <w:bookmarkStart w:id="17" w:name="_Toc235635513"/>
      <w:bookmarkEnd w:id="14"/>
      <w:r>
        <w:t>9. Positive-count sensitivity and ambiguity</w:t>
      </w:r>
      <w:bookmarkEnd w:id="17"/>
    </w:p>
    <w:p w14:paraId="69A085EB" w14:textId="77777777" w:rsidR="00421AE3" w:rsidRDefault="00611FDF">
      <w:pPr>
        <w:pStyle w:val="FirstParagraph"/>
      </w:pPr>
      <w:r>
        <w:t xml:space="preserve">The registered zero-truncated negative-binomial sensitivity is copied as </w:t>
      </w:r>
      <w:r>
        <w:rPr>
          <w:rStyle w:val="VerbatimChar"/>
        </w:rPr>
        <w:t>tables_v3/Table_S9_zero_truncated_nb2_v3.csv</w:t>
      </w:r>
      <w:r>
        <w:t>. It preserves explicit engine/support and numerical failure states. Detection, finite numeric count, X, lower-bound count, ambiguity, and structural unknown remain distinct throughout the descriptive and inferential records.</w:t>
      </w:r>
    </w:p>
    <w:p w14:paraId="4E3E6FB2" w14:textId="77777777" w:rsidR="00421AE3" w:rsidRDefault="00611FDF">
      <w:pPr>
        <w:pStyle w:val="Heading1"/>
      </w:pPr>
      <w:bookmarkStart w:id="18" w:name="compatible-family-pooling-repair"/>
      <w:bookmarkStart w:id="19" w:name="_Toc235635514"/>
      <w:bookmarkEnd w:id="16"/>
      <w:r>
        <w:t>10. Compatible-family pooling repair</w:t>
      </w:r>
      <w:bookmarkEnd w:id="19"/>
    </w:p>
    <w:p w14:paraId="4C4FEC03" w14:textId="77777777" w:rsidR="00421AE3" w:rsidRDefault="00611FDF">
      <w:pPr>
        <w:pStyle w:val="FirstParagraph"/>
      </w:pPr>
      <w:r>
        <w:t>The v2 compatible-family repair did not change any coefficient, standard error, interval, p-value, q-value, model status, or component sample size. It audited 6,562 finite historical rows in 112 families, yielded 162 estimable compatible families, retained 439 duplicate M11/M12 representations as explicit NA, and retained 38 noncompleted rows as explicit NA.</w:t>
      </w:r>
    </w:p>
    <w:p w14:paraId="311DFB98" w14:textId="77777777" w:rsidR="00421AE3" w:rsidRDefault="00611FDF">
      <w:pPr>
        <w:pStyle w:val="BodyText"/>
      </w:pPr>
      <w:r>
        <w:t xml:space="preserve">The complete family table is copied as </w:t>
      </w:r>
      <w:r>
        <w:rPr>
          <w:rStyle w:val="VerbatimChar"/>
        </w:rPr>
        <w:t>tables_v3/Table_S10_pooling_families_v3.csv</w:t>
      </w:r>
      <w:r>
        <w:t xml:space="preserve">; exclusion accounting is </w:t>
      </w:r>
      <w:r>
        <w:rPr>
          <w:rStyle w:val="VerbatimChar"/>
        </w:rPr>
        <w:t>Table_S11_pooling_exclusions_v3.csv</w:t>
      </w:r>
      <w:r>
        <w:t>. V1 and v2 artifacts remain unchanged.</w:t>
      </w:r>
    </w:p>
    <w:p w14:paraId="6649BB27" w14:textId="77777777" w:rsidR="00421AE3" w:rsidRDefault="00611FDF">
      <w:pPr>
        <w:pStyle w:val="Heading1"/>
      </w:pPr>
      <w:bookmarkStart w:id="20" w:name="figure-and-table-provenance"/>
      <w:bookmarkStart w:id="21" w:name="_Toc235635515"/>
      <w:bookmarkEnd w:id="18"/>
      <w:r>
        <w:t>11. Figure and table provenance</w:t>
      </w:r>
      <w:bookmarkEnd w:id="21"/>
    </w:p>
    <w:p w14:paraId="359DA534" w14:textId="77777777" w:rsidR="00421AE3" w:rsidRDefault="00611FDF">
      <w:pPr>
        <w:pStyle w:val="FirstParagraph"/>
      </w:pPr>
      <w:r>
        <w:rPr>
          <w:rStyle w:val="VerbatimChar"/>
        </w:rPr>
        <w:t>audits/figure_table_provenance_v3.csv</w:t>
      </w:r>
      <w:r>
        <w:t xml:space="preserve"> records each v3 figure and table, deterministic source, SHA-256 hash, generation script, filter, model/family identifiers, caption purpose, and privacy class. </w:t>
      </w:r>
      <w:r>
        <w:rPr>
          <w:rStyle w:val="VerbatimChar"/>
        </w:rPr>
        <w:t>audits/spatial_figure_privacy_audit_v3.csv</w:t>
      </w:r>
      <w:r>
        <w:t xml:space="preserve"> separately records the map source, broad aggregation unit, threshold, suppression rule, coordinate class, projection, date range, layer meaning, and limitation.</w:t>
      </w:r>
    </w:p>
    <w:p w14:paraId="7BD79427" w14:textId="77777777" w:rsidR="00421AE3" w:rsidRDefault="00611FDF">
      <w:pPr>
        <w:pStyle w:val="Heading1"/>
      </w:pPr>
      <w:bookmarkStart w:id="22" w:name="reproducibility-and-governance-statement"/>
      <w:bookmarkStart w:id="23" w:name="_Toc235635516"/>
      <w:bookmarkEnd w:id="20"/>
      <w:r>
        <w:t>12. Reproducibility and governance statement</w:t>
      </w:r>
      <w:bookmarkEnd w:id="23"/>
    </w:p>
    <w:p w14:paraId="185B9B53" w14:textId="77777777" w:rsidR="00421AE3" w:rsidRDefault="00611FDF">
      <w:pPr>
        <w:pStyle w:val="FirstParagraph"/>
      </w:pPr>
      <w:r>
        <w:t>V3 manuscript assembly:</w:t>
      </w:r>
    </w:p>
    <w:p w14:paraId="0D627C13" w14:textId="77777777" w:rsidR="00421AE3" w:rsidRDefault="00611FDF">
      <w:pPr>
        <w:pStyle w:val="Compact"/>
        <w:numPr>
          <w:ilvl w:val="0"/>
          <w:numId w:val="3"/>
        </w:numPr>
      </w:pPr>
      <w:r>
        <w:t>used no response year after 2025;</w:t>
      </w:r>
    </w:p>
    <w:p w14:paraId="163E8BDE" w14:textId="77777777" w:rsidR="00421AE3" w:rsidRDefault="00611FDF">
      <w:pPr>
        <w:pStyle w:val="Compact"/>
        <w:numPr>
          <w:ilvl w:val="0"/>
          <w:numId w:val="3"/>
        </w:numPr>
      </w:pPr>
      <w:r>
        <w:t>opened no protected response cache or row-level spatial derivative;</w:t>
      </w:r>
    </w:p>
    <w:p w14:paraId="78888881" w14:textId="77777777" w:rsidR="00421AE3" w:rsidRDefault="00611FDF">
      <w:pPr>
        <w:pStyle w:val="Compact"/>
        <w:numPr>
          <w:ilvl w:val="0"/>
          <w:numId w:val="3"/>
        </w:numPr>
      </w:pPr>
      <w:r>
        <w:t>exposed no checklist, observer, locality, exact coordinate, event-token, or transformation-mapping identifier;</w:t>
      </w:r>
    </w:p>
    <w:p w14:paraId="28E9BA4C" w14:textId="77777777" w:rsidR="00421AE3" w:rsidRDefault="00611FDF">
      <w:pPr>
        <w:pStyle w:val="Compact"/>
        <w:numPr>
          <w:ilvl w:val="0"/>
          <w:numId w:val="3"/>
        </w:numPr>
      </w:pPr>
      <w:r>
        <w:t>fitted no response model;</w:t>
      </w:r>
    </w:p>
    <w:p w14:paraId="299CABC9" w14:textId="77777777" w:rsidR="00421AE3" w:rsidRDefault="00611FDF">
      <w:pPr>
        <w:pStyle w:val="Compact"/>
        <w:numPr>
          <w:ilvl w:val="0"/>
          <w:numId w:val="3"/>
        </w:numPr>
      </w:pPr>
      <w:r>
        <w:t>changed no frozen v1 or v2 analysis artifact; and</w:t>
      </w:r>
    </w:p>
    <w:p w14:paraId="7A76FE01" w14:textId="77777777" w:rsidR="00421AE3" w:rsidRDefault="00611FDF">
      <w:pPr>
        <w:pStyle w:val="Compact"/>
        <w:numPr>
          <w:ilvl w:val="0"/>
          <w:numId w:val="3"/>
        </w:numPr>
      </w:pPr>
      <w:r>
        <w:t>created versioned v3 files only.</w:t>
      </w:r>
    </w:p>
    <w:p w14:paraId="41FB7136" w14:textId="77777777" w:rsidR="00421AE3" w:rsidRDefault="00611FDF">
      <w:pPr>
        <w:pStyle w:val="FirstParagraph"/>
      </w:pPr>
      <w:r>
        <w:t xml:space="preserve">The analysis freeze remains commit </w:t>
      </w:r>
      <w:r>
        <w:rPr>
          <w:rStyle w:val="VerbatimChar"/>
        </w:rPr>
        <w:t>c54b8e7f95a2fe3573e2e38633079cd223c5a783</w:t>
      </w:r>
      <w:r>
        <w:t xml:space="preserve">, tag </w:t>
      </w:r>
      <w:r>
        <w:rPr>
          <w:rStyle w:val="VerbatimChar"/>
        </w:rPr>
        <w:t>stage4a-publication-v2-analysis-freeze</w:t>
      </w:r>
      <w:r>
        <w:t>.</w:t>
      </w:r>
    </w:p>
    <w:p w14:paraId="66330067" w14:textId="77777777" w:rsidR="00421AE3" w:rsidRDefault="00611FDF">
      <w:pPr>
        <w:pStyle w:val="Heading1"/>
      </w:pPr>
      <w:bookmarkStart w:id="24" w:name="supplementary-file-inventory"/>
      <w:bookmarkStart w:id="25" w:name="_Toc235635517"/>
      <w:bookmarkEnd w:id="22"/>
      <w:r>
        <w:t>13. Supplementary file inventory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21AE3" w14:paraId="41CCFED0" w14:textId="77777777" w:rsidTr="0042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A35CD0" w14:textId="77777777" w:rsidR="00421AE3" w:rsidRDefault="00611FDF">
            <w:pPr>
              <w:pStyle w:val="Compact"/>
            </w:pPr>
            <w:r>
              <w:t>Identifier</w:t>
            </w:r>
          </w:p>
        </w:tc>
        <w:tc>
          <w:tcPr>
            <w:tcW w:w="2640" w:type="dxa"/>
          </w:tcPr>
          <w:p w14:paraId="0F2C78E6" w14:textId="77777777" w:rsidR="00421AE3" w:rsidRDefault="00611FDF">
            <w:pPr>
              <w:pStyle w:val="Compact"/>
            </w:pPr>
            <w:r>
              <w:t>File</w:t>
            </w:r>
          </w:p>
        </w:tc>
        <w:tc>
          <w:tcPr>
            <w:tcW w:w="2640" w:type="dxa"/>
          </w:tcPr>
          <w:p w14:paraId="3826C128" w14:textId="77777777" w:rsidR="00421AE3" w:rsidRDefault="00611FDF">
            <w:pPr>
              <w:pStyle w:val="Compact"/>
            </w:pPr>
            <w:r>
              <w:t>Contents</w:t>
            </w:r>
          </w:p>
        </w:tc>
      </w:tr>
      <w:tr w:rsidR="00421AE3" w14:paraId="55EEBA9F" w14:textId="77777777">
        <w:tc>
          <w:tcPr>
            <w:tcW w:w="2640" w:type="dxa"/>
          </w:tcPr>
          <w:p w14:paraId="70583EE3" w14:textId="77777777" w:rsidR="00421AE3" w:rsidRDefault="00611FDF">
            <w:pPr>
              <w:pStyle w:val="Compact"/>
            </w:pPr>
            <w:r>
              <w:t>Table S1</w:t>
            </w:r>
          </w:p>
        </w:tc>
        <w:tc>
          <w:tcPr>
            <w:tcW w:w="2640" w:type="dxa"/>
          </w:tcPr>
          <w:p w14:paraId="047175B1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Table_S1_all_species_effects_v3.csv</w:t>
            </w:r>
          </w:p>
        </w:tc>
        <w:tc>
          <w:tcPr>
            <w:tcW w:w="2640" w:type="dxa"/>
          </w:tcPr>
          <w:p w14:paraId="0FBCB815" w14:textId="77777777" w:rsidR="00421AE3" w:rsidRDefault="00611FDF">
            <w:pPr>
              <w:pStyle w:val="Compact"/>
            </w:pPr>
            <w:r>
              <w:t>complete M02 species effects</w:t>
            </w:r>
          </w:p>
        </w:tc>
      </w:tr>
      <w:tr w:rsidR="00421AE3" w14:paraId="541F9A9A" w14:textId="77777777">
        <w:tc>
          <w:tcPr>
            <w:tcW w:w="2640" w:type="dxa"/>
          </w:tcPr>
          <w:p w14:paraId="427A3A0E" w14:textId="77777777" w:rsidR="00421AE3" w:rsidRDefault="00611FDF">
            <w:pPr>
              <w:pStyle w:val="Compact"/>
            </w:pPr>
            <w:r>
              <w:t>Table S2</w:t>
            </w:r>
          </w:p>
        </w:tc>
        <w:tc>
          <w:tcPr>
            <w:tcW w:w="2640" w:type="dxa"/>
          </w:tcPr>
          <w:p w14:paraId="6612122F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Table_S2_all_M05_time_distance_effects_v3.csv</w:t>
            </w:r>
          </w:p>
        </w:tc>
        <w:tc>
          <w:tcPr>
            <w:tcW w:w="2640" w:type="dxa"/>
          </w:tcPr>
          <w:p w14:paraId="5E5092E1" w14:textId="77777777" w:rsidR="00421AE3" w:rsidRDefault="00611FDF">
            <w:pPr>
              <w:pStyle w:val="Compact"/>
            </w:pPr>
            <w:r>
              <w:t>all released M05 time and distance components</w:t>
            </w:r>
          </w:p>
        </w:tc>
      </w:tr>
      <w:tr w:rsidR="00421AE3" w14:paraId="4C0FEEBB" w14:textId="77777777">
        <w:tc>
          <w:tcPr>
            <w:tcW w:w="2640" w:type="dxa"/>
          </w:tcPr>
          <w:p w14:paraId="5B7AF01E" w14:textId="77777777" w:rsidR="00421AE3" w:rsidRDefault="00611FDF">
            <w:pPr>
              <w:pStyle w:val="Compact"/>
            </w:pPr>
            <w:r>
              <w:t>Table S2a</w:t>
            </w:r>
          </w:p>
        </w:tc>
        <w:tc>
          <w:tcPr>
            <w:tcW w:w="2640" w:type="dxa"/>
          </w:tcPr>
          <w:p w14:paraId="165A9780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Table_S2a_guild_event_time_effects_v3.csv</w:t>
            </w:r>
          </w:p>
        </w:tc>
        <w:tc>
          <w:tcPr>
            <w:tcW w:w="2640" w:type="dxa"/>
          </w:tcPr>
          <w:p w14:paraId="2C72D2DB" w14:textId="77777777" w:rsidR="00421AE3" w:rsidRDefault="00611FDF">
            <w:pPr>
              <w:pStyle w:val="Compact"/>
            </w:pPr>
            <w:r>
              <w:t>complete 160-row guild event-window family</w:t>
            </w:r>
          </w:p>
        </w:tc>
      </w:tr>
      <w:tr w:rsidR="00421AE3" w14:paraId="46ECD121" w14:textId="77777777">
        <w:tc>
          <w:tcPr>
            <w:tcW w:w="2640" w:type="dxa"/>
          </w:tcPr>
          <w:p w14:paraId="1A46473D" w14:textId="77777777" w:rsidR="00421AE3" w:rsidRDefault="00611FDF">
            <w:pPr>
              <w:pStyle w:val="Compact"/>
            </w:pPr>
            <w:r>
              <w:t>Table S3</w:t>
            </w:r>
          </w:p>
        </w:tc>
        <w:tc>
          <w:tcPr>
            <w:tcW w:w="2640" w:type="dxa"/>
          </w:tcPr>
          <w:p w14:paraId="1527B7B2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Table_S3_temporal_sampling_support_v3.csv</w:t>
            </w:r>
          </w:p>
        </w:tc>
        <w:tc>
          <w:tcPr>
            <w:tcW w:w="2640" w:type="dxa"/>
          </w:tcPr>
          <w:p w14:paraId="2FBED48C" w14:textId="77777777" w:rsidR="00421AE3" w:rsidRDefault="00611FDF">
            <w:pPr>
              <w:pStyle w:val="Compact"/>
            </w:pPr>
            <w:r>
              <w:t>response-free region-year support</w:t>
            </w:r>
          </w:p>
        </w:tc>
      </w:tr>
      <w:tr w:rsidR="00421AE3" w14:paraId="6D4C4590" w14:textId="77777777">
        <w:tc>
          <w:tcPr>
            <w:tcW w:w="2640" w:type="dxa"/>
          </w:tcPr>
          <w:p w14:paraId="061FC9C4" w14:textId="77777777" w:rsidR="00421AE3" w:rsidRDefault="00611FDF">
            <w:pPr>
              <w:pStyle w:val="Compact"/>
            </w:pPr>
            <w:r>
              <w:t>Table S4</w:t>
            </w:r>
          </w:p>
        </w:tc>
        <w:tc>
          <w:tcPr>
            <w:tcW w:w="2640" w:type="dxa"/>
          </w:tcPr>
          <w:p w14:paraId="0C8C1177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Table_S4_all_sensitivity_effects_v3.csv</w:t>
            </w:r>
          </w:p>
        </w:tc>
        <w:tc>
          <w:tcPr>
            <w:tcW w:w="2640" w:type="dxa"/>
          </w:tcPr>
          <w:p w14:paraId="7486AA9D" w14:textId="77777777" w:rsidR="00421AE3" w:rsidRDefault="00611FDF">
            <w:pPr>
              <w:pStyle w:val="Compact"/>
            </w:pPr>
            <w:r>
              <w:t>128 protected v2 components</w:t>
            </w:r>
          </w:p>
        </w:tc>
      </w:tr>
      <w:tr w:rsidR="00421AE3" w14:paraId="3B4975B7" w14:textId="77777777">
        <w:tc>
          <w:tcPr>
            <w:tcW w:w="2640" w:type="dxa"/>
          </w:tcPr>
          <w:p w14:paraId="2215A152" w14:textId="77777777" w:rsidR="00421AE3" w:rsidRDefault="00611FDF">
            <w:pPr>
              <w:pStyle w:val="Compact"/>
            </w:pPr>
            <w:r>
              <w:t>Table S5</w:t>
            </w:r>
          </w:p>
        </w:tc>
        <w:tc>
          <w:tcPr>
            <w:tcW w:w="2640" w:type="dxa"/>
          </w:tcPr>
          <w:p w14:paraId="32DA91F1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Table_S5_all_validation_v3.csv</w:t>
            </w:r>
          </w:p>
        </w:tc>
        <w:tc>
          <w:tcPr>
            <w:tcW w:w="2640" w:type="dxa"/>
          </w:tcPr>
          <w:p w14:paraId="061DAB83" w14:textId="77777777" w:rsidR="00421AE3" w:rsidRDefault="00611FDF">
            <w:pPr>
              <w:pStyle w:val="Compact"/>
            </w:pPr>
            <w:r>
              <w:t>matched four-fold validation</w:t>
            </w:r>
          </w:p>
        </w:tc>
      </w:tr>
      <w:tr w:rsidR="00421AE3" w14:paraId="497169B2" w14:textId="77777777">
        <w:tc>
          <w:tcPr>
            <w:tcW w:w="2640" w:type="dxa"/>
          </w:tcPr>
          <w:p w14:paraId="0C35BF02" w14:textId="77777777" w:rsidR="00421AE3" w:rsidRDefault="00611FDF">
            <w:pPr>
              <w:pStyle w:val="Compact"/>
            </w:pPr>
            <w:r>
              <w:t>Table S6</w:t>
            </w:r>
          </w:p>
        </w:tc>
        <w:tc>
          <w:tcPr>
            <w:tcW w:w="2640" w:type="dxa"/>
          </w:tcPr>
          <w:p w14:paraId="04ED54D2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Table_S6_model_geometry_v3.csv</w:t>
            </w:r>
          </w:p>
        </w:tc>
        <w:tc>
          <w:tcPr>
            <w:tcW w:w="2640" w:type="dxa"/>
          </w:tcPr>
          <w:p w14:paraId="1FDBAC65" w14:textId="77777777" w:rsidR="00421AE3" w:rsidRDefault="00611FDF">
            <w:pPr>
              <w:pStyle w:val="Compact"/>
            </w:pPr>
            <w:r>
              <w:t>legacy convergence and rank states</w:t>
            </w:r>
          </w:p>
        </w:tc>
      </w:tr>
      <w:tr w:rsidR="00421AE3" w14:paraId="320FDAAB" w14:textId="77777777">
        <w:tc>
          <w:tcPr>
            <w:tcW w:w="2640" w:type="dxa"/>
          </w:tcPr>
          <w:p w14:paraId="1EF0A4B0" w14:textId="77777777" w:rsidR="00421AE3" w:rsidRDefault="00611FDF">
            <w:pPr>
              <w:pStyle w:val="Compact"/>
            </w:pPr>
            <w:r>
              <w:t>Table S7</w:t>
            </w:r>
          </w:p>
        </w:tc>
        <w:tc>
          <w:tcPr>
            <w:tcW w:w="2640" w:type="dxa"/>
          </w:tcPr>
          <w:p w14:paraId="10EAB14F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Table_S7_singular_fit_audit_v3.csv</w:t>
            </w:r>
          </w:p>
        </w:tc>
        <w:tc>
          <w:tcPr>
            <w:tcW w:w="2640" w:type="dxa"/>
          </w:tcPr>
          <w:p w14:paraId="16A0CE1D" w14:textId="77777777" w:rsidR="00421AE3" w:rsidRDefault="00611FDF">
            <w:pPr>
              <w:pStyle w:val="Compact"/>
            </w:pPr>
            <w:r>
              <w:t>all 43 singular component warnings</w:t>
            </w:r>
          </w:p>
        </w:tc>
      </w:tr>
      <w:tr w:rsidR="00421AE3" w14:paraId="638895FC" w14:textId="77777777">
        <w:tc>
          <w:tcPr>
            <w:tcW w:w="2640" w:type="dxa"/>
          </w:tcPr>
          <w:p w14:paraId="2544AB70" w14:textId="77777777" w:rsidR="00421AE3" w:rsidRDefault="00611FDF">
            <w:pPr>
              <w:pStyle w:val="Compact"/>
            </w:pPr>
            <w:r>
              <w:t>Table S8</w:t>
            </w:r>
          </w:p>
        </w:tc>
        <w:tc>
          <w:tcPr>
            <w:tcW w:w="2640" w:type="dxa"/>
          </w:tcPr>
          <w:p w14:paraId="5671AEF1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Table_S8_model_disposition_v3.csv</w:t>
            </w:r>
          </w:p>
        </w:tc>
        <w:tc>
          <w:tcPr>
            <w:tcW w:w="2640" w:type="dxa"/>
          </w:tcPr>
          <w:p w14:paraId="625149C9" w14:textId="77777777" w:rsidR="00421AE3" w:rsidRDefault="00611FDF">
            <w:pPr>
              <w:pStyle w:val="Compact"/>
            </w:pPr>
            <w:r>
              <w:t>model disposition and replacements</w:t>
            </w:r>
          </w:p>
        </w:tc>
      </w:tr>
      <w:tr w:rsidR="00421AE3" w14:paraId="6D35781F" w14:textId="77777777">
        <w:tc>
          <w:tcPr>
            <w:tcW w:w="2640" w:type="dxa"/>
          </w:tcPr>
          <w:p w14:paraId="09EEC8F4" w14:textId="77777777" w:rsidR="00421AE3" w:rsidRDefault="00611FDF">
            <w:pPr>
              <w:pStyle w:val="Compact"/>
            </w:pPr>
            <w:r>
              <w:t>Table S9</w:t>
            </w:r>
          </w:p>
        </w:tc>
        <w:tc>
          <w:tcPr>
            <w:tcW w:w="2640" w:type="dxa"/>
          </w:tcPr>
          <w:p w14:paraId="289FFB67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Table_S9_zero_truncated_nb2_v3.csv</w:t>
            </w:r>
          </w:p>
        </w:tc>
        <w:tc>
          <w:tcPr>
            <w:tcW w:w="2640" w:type="dxa"/>
          </w:tcPr>
          <w:p w14:paraId="1C7C7231" w14:textId="77777777" w:rsidR="00421AE3" w:rsidRDefault="00611FDF">
            <w:pPr>
              <w:pStyle w:val="Compact"/>
            </w:pPr>
            <w:r>
              <w:t>count-family sensitivity</w:t>
            </w:r>
          </w:p>
        </w:tc>
      </w:tr>
      <w:tr w:rsidR="00421AE3" w14:paraId="3B6896AF" w14:textId="77777777">
        <w:tc>
          <w:tcPr>
            <w:tcW w:w="2640" w:type="dxa"/>
          </w:tcPr>
          <w:p w14:paraId="374E318D" w14:textId="77777777" w:rsidR="00421AE3" w:rsidRDefault="00611FDF">
            <w:pPr>
              <w:pStyle w:val="Compact"/>
            </w:pPr>
            <w:r>
              <w:t>Table S10</w:t>
            </w:r>
          </w:p>
        </w:tc>
        <w:tc>
          <w:tcPr>
            <w:tcW w:w="2640" w:type="dxa"/>
          </w:tcPr>
          <w:p w14:paraId="4DCFC477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Table_S10_pooling_families_v3.csv</w:t>
            </w:r>
          </w:p>
        </w:tc>
        <w:tc>
          <w:tcPr>
            <w:tcW w:w="2640" w:type="dxa"/>
          </w:tcPr>
          <w:p w14:paraId="36B0E5B1" w14:textId="77777777" w:rsidR="00421AE3" w:rsidRDefault="00611FDF">
            <w:pPr>
              <w:pStyle w:val="Compact"/>
            </w:pPr>
            <w:r>
              <w:t>162 compatible family records plus nonestimable families</w:t>
            </w:r>
          </w:p>
        </w:tc>
      </w:tr>
      <w:tr w:rsidR="00421AE3" w14:paraId="34168A65" w14:textId="77777777">
        <w:tc>
          <w:tcPr>
            <w:tcW w:w="2640" w:type="dxa"/>
          </w:tcPr>
          <w:p w14:paraId="36699A2E" w14:textId="77777777" w:rsidR="00421AE3" w:rsidRDefault="00611FDF">
            <w:pPr>
              <w:pStyle w:val="Compact"/>
            </w:pPr>
            <w:r>
              <w:t>Table S11</w:t>
            </w:r>
          </w:p>
        </w:tc>
        <w:tc>
          <w:tcPr>
            <w:tcW w:w="2640" w:type="dxa"/>
          </w:tcPr>
          <w:p w14:paraId="0C4CB20D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Table_S11_pooling_exclusions_v3.csv</w:t>
            </w:r>
          </w:p>
        </w:tc>
        <w:tc>
          <w:tcPr>
            <w:tcW w:w="2640" w:type="dxa"/>
          </w:tcPr>
          <w:p w14:paraId="7557604E" w14:textId="77777777" w:rsidR="00421AE3" w:rsidRDefault="00611FDF">
            <w:pPr>
              <w:pStyle w:val="Compact"/>
            </w:pPr>
            <w:r>
              <w:t>explicit exclusion and NA accounting</w:t>
            </w:r>
          </w:p>
        </w:tc>
      </w:tr>
      <w:tr w:rsidR="00421AE3" w14:paraId="64EF294E" w14:textId="77777777">
        <w:tc>
          <w:tcPr>
            <w:tcW w:w="2640" w:type="dxa"/>
          </w:tcPr>
          <w:p w14:paraId="5FC81A7C" w14:textId="77777777" w:rsidR="00421AE3" w:rsidRDefault="00611FDF">
            <w:pPr>
              <w:pStyle w:val="Compact"/>
            </w:pPr>
            <w:r>
              <w:t>Table S12</w:t>
            </w:r>
          </w:p>
        </w:tc>
        <w:tc>
          <w:tcPr>
            <w:tcW w:w="2640" w:type="dxa"/>
          </w:tcPr>
          <w:p w14:paraId="1AACE010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Table_S12_M08_active_minus_reference_v3.csv</w:t>
            </w:r>
          </w:p>
        </w:tc>
        <w:tc>
          <w:tcPr>
            <w:tcW w:w="2640" w:type="dxa"/>
          </w:tcPr>
          <w:p w14:paraId="751C978E" w14:textId="77777777" w:rsidR="00421AE3" w:rsidRDefault="00611FDF">
            <w:pPr>
              <w:pStyle w:val="Compact"/>
            </w:pPr>
            <w:r>
              <w:t>direct active-minus-reference contrasts</w:t>
            </w:r>
          </w:p>
        </w:tc>
      </w:tr>
      <w:tr w:rsidR="00421AE3" w14:paraId="3410CD20" w14:textId="77777777">
        <w:tc>
          <w:tcPr>
            <w:tcW w:w="2640" w:type="dxa"/>
          </w:tcPr>
          <w:p w14:paraId="461085F4" w14:textId="77777777" w:rsidR="00421AE3" w:rsidRDefault="00611FDF">
            <w:pPr>
              <w:pStyle w:val="Compact"/>
            </w:pPr>
            <w:r>
              <w:t>Table S13</w:t>
            </w:r>
          </w:p>
        </w:tc>
        <w:tc>
          <w:tcPr>
            <w:tcW w:w="2640" w:type="dxa"/>
          </w:tcPr>
          <w:p w14:paraId="02EFBBB5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Table_S13_all_M29_components_v3.csv</w:t>
            </w:r>
          </w:p>
        </w:tc>
        <w:tc>
          <w:tcPr>
            <w:tcW w:w="2640" w:type="dxa"/>
          </w:tcPr>
          <w:p w14:paraId="4200CEF8" w14:textId="77777777" w:rsidR="00421AE3" w:rsidRDefault="00611FDF">
            <w:pPr>
              <w:pStyle w:val="Compact"/>
            </w:pPr>
            <w:r>
              <w:t>complete M29 release, including noncompleted WCVI rows</w:t>
            </w:r>
          </w:p>
        </w:tc>
      </w:tr>
      <w:tr w:rsidR="00421AE3" w14:paraId="0E39B5F9" w14:textId="77777777">
        <w:tc>
          <w:tcPr>
            <w:tcW w:w="2640" w:type="dxa"/>
          </w:tcPr>
          <w:p w14:paraId="039A049E" w14:textId="77777777" w:rsidR="00421AE3" w:rsidRDefault="00611FDF">
            <w:pPr>
              <w:pStyle w:val="Compact"/>
            </w:pPr>
            <w:r>
              <w:t>Table S14</w:t>
            </w:r>
          </w:p>
        </w:tc>
        <w:tc>
          <w:tcPr>
            <w:tcW w:w="2640" w:type="dxa"/>
          </w:tcPr>
          <w:p w14:paraId="46AFD985" w14:textId="77777777" w:rsidR="00421AE3" w:rsidRDefault="00611FDF">
            <w:pPr>
              <w:pStyle w:val="Compact"/>
            </w:pPr>
            <w:r>
              <w:rPr>
                <w:rStyle w:val="VerbatimChar"/>
              </w:rPr>
              <w:t>Table_S14_complete_effect_release_v3.csv</w:t>
            </w:r>
          </w:p>
        </w:tc>
        <w:tc>
          <w:tcPr>
            <w:tcW w:w="2640" w:type="dxa"/>
          </w:tcPr>
          <w:p w14:paraId="63389F07" w14:textId="77777777" w:rsidR="00421AE3" w:rsidRDefault="00611FDF">
            <w:pPr>
              <w:pStyle w:val="Compact"/>
            </w:pPr>
            <w:r>
              <w:t>complete frozen aggregate effect release</w:t>
            </w:r>
          </w:p>
        </w:tc>
      </w:tr>
      <w:bookmarkEnd w:id="24"/>
    </w:tbl>
    <w:p w14:paraId="5706D08C" w14:textId="77777777" w:rsidR="00611FDF" w:rsidRDefault="00611FDF"/>
    <w:sectPr w:rsidR="00611FDF" w:rsidSect="008750B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59B0" w14:textId="77777777" w:rsidR="00611FDF" w:rsidRDefault="00611FDF" w:rsidP="008750B2">
      <w:pPr>
        <w:spacing w:after="0"/>
      </w:pPr>
      <w:r>
        <w:separator/>
      </w:r>
    </w:p>
  </w:endnote>
  <w:endnote w:type="continuationSeparator" w:id="0">
    <w:p w14:paraId="78E619D5" w14:textId="77777777" w:rsidR="00611FDF" w:rsidRDefault="00611FDF" w:rsidP="008750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71F4" w14:textId="77777777" w:rsidR="008750B2" w:rsidRDefault="00875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E792D" w14:textId="12470905" w:rsidR="008750B2" w:rsidRDefault="008750B2" w:rsidP="008750B2">
    <w:pPr>
      <w:pStyle w:val="Footer"/>
      <w:jc w:val="center"/>
    </w:pPr>
    <w: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FB869" w14:textId="77777777" w:rsidR="008750B2" w:rsidRDefault="00875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55BEB" w14:textId="77777777" w:rsidR="00611FDF" w:rsidRDefault="00611FDF" w:rsidP="008750B2">
      <w:pPr>
        <w:spacing w:after="0"/>
      </w:pPr>
      <w:r>
        <w:separator/>
      </w:r>
    </w:p>
  </w:footnote>
  <w:footnote w:type="continuationSeparator" w:id="0">
    <w:p w14:paraId="27D5C25D" w14:textId="77777777" w:rsidR="00611FDF" w:rsidRDefault="00611FDF" w:rsidP="008750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68D1" w14:textId="77777777" w:rsidR="008750B2" w:rsidRDefault="00875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ACD0" w14:textId="77777777" w:rsidR="008750B2" w:rsidRDefault="008750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2E814" w14:textId="77777777" w:rsidR="008750B2" w:rsidRDefault="00875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5C91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42D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4665642">
    <w:abstractNumId w:val="0"/>
  </w:num>
  <w:num w:numId="2" w16cid:durableId="1502424596">
    <w:abstractNumId w:val="1"/>
  </w:num>
  <w:num w:numId="3" w16cid:durableId="2002273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AE3"/>
    <w:rsid w:val="00421AE3"/>
    <w:rsid w:val="00611FDF"/>
    <w:rsid w:val="008750B2"/>
    <w:rsid w:val="00E4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21504"/>
  <w15:docId w15:val="{3E588114-982E-4680-A722-5E8F94A5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8750B2"/>
    <w:pPr>
      <w:spacing w:after="100"/>
    </w:pPr>
  </w:style>
  <w:style w:type="paragraph" w:styleId="Header">
    <w:name w:val="header"/>
    <w:basedOn w:val="Normal"/>
    <w:link w:val="HeaderChar"/>
    <w:rsid w:val="008750B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750B2"/>
  </w:style>
  <w:style w:type="paragraph" w:styleId="Footer">
    <w:name w:val="footer"/>
    <w:basedOn w:val="Normal"/>
    <w:link w:val="FooterChar"/>
    <w:rsid w:val="008750B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750B2"/>
  </w:style>
  <w:style w:type="character" w:styleId="LineNumber">
    <w:name w:val="line number"/>
    <w:basedOn w:val="DefaultParagraphFont"/>
    <w:rsid w:val="00875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1247</Words>
  <Characters>9184</Characters>
  <Application>Microsoft Office Word</Application>
  <DocSecurity>0</DocSecurity>
  <Lines>234</Lines>
  <Paragraphs>114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Event-linked coastal bird checklist associations with recorded Pacific herring spawning in British Columbia</dc:title>
  <dc:creator>Anonymous</dc:creator>
  <cp:keywords/>
  <cp:lastModifiedBy>Jake Dingwall</cp:lastModifiedBy>
  <cp:revision>2</cp:revision>
  <dcterms:created xsi:type="dcterms:W3CDTF">2026-07-23T00:57:00Z</dcterms:created>
  <dcterms:modified xsi:type="dcterms:W3CDTF">2026-07-23T00:57:00Z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mer_references_v3.bib</vt:lpwstr>
  </property>
  <property fmtid="{D5CDD505-2E9C-101B-9397-08002B2CF9AE}" pid="5" name="by-author">
    <vt:lpwstr/>
  </property>
  <property fmtid="{D5CDD505-2E9C-101B-9397-08002B2CF9AE}" pid="6" name="csl">
    <vt:lpwstr>../../../../references/marine-environmental-research.csl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