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Revision</w:t>
      </w:r>
      <w:r>
        <w:t xml:space="preserve"> </w:t>
      </w:r>
      <w:r>
        <w:t xml:space="preserve">memo</w:t>
      </w:r>
    </w:p>
    <w:p>
      <w:pPr>
        <w:pStyle w:val="Subtitle"/>
      </w:pPr>
      <w:r>
        <w:t xml:space="preserve">Event-linked</w:t>
      </w:r>
      <w:r>
        <w:t xml:space="preserve"> </w:t>
      </w:r>
      <w:r>
        <w:t xml:space="preserve">changes</w:t>
      </w:r>
      <w:r>
        <w:t xml:space="preserve"> </w:t>
      </w:r>
      <w:r>
        <w:t xml:space="preserve">in</w:t>
      </w:r>
      <w:r>
        <w:t xml:space="preserve"> </w:t>
      </w:r>
      <w:r>
        <w:t xml:space="preserve">coastal-bird</w:t>
      </w:r>
      <w:r>
        <w:t xml:space="preserve"> </w:t>
      </w:r>
      <w:r>
        <w:t xml:space="preserve">checklist</w:t>
      </w:r>
      <w:r>
        <w:t xml:space="preserve"> </w:t>
      </w:r>
      <w:r>
        <w:t xml:space="preserve">reporting</w:t>
      </w:r>
      <w:r>
        <w:t xml:space="preserve"> </w:t>
      </w:r>
      <w:r>
        <w:t xml:space="preserve">and</w:t>
      </w:r>
      <w:r>
        <w:t xml:space="preserve"> </w:t>
      </w:r>
      <w:r>
        <w:t xml:space="preserve">counts</w:t>
      </w:r>
      <w:r>
        <w:t xml:space="preserve"> </w:t>
      </w:r>
      <w:r>
        <w:t xml:space="preserve">during</w:t>
      </w:r>
      <w:r>
        <w:t xml:space="preserve"> </w:t>
      </w:r>
      <w:r>
        <w:t xml:space="preserve">Pacific</w:t>
      </w:r>
      <w:r>
        <w:t xml:space="preserve"> </w:t>
      </w:r>
      <w:r>
        <w:t xml:space="preserve">herring</w:t>
      </w:r>
      <w:r>
        <w:t xml:space="preserve"> </w:t>
      </w:r>
      <w:r>
        <w:t xml:space="preserve">spawning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Strait</w:t>
      </w:r>
      <w:r>
        <w:t xml:space="preserve"> </w:t>
      </w:r>
      <w:r>
        <w:t xml:space="preserve">of</w:t>
      </w:r>
      <w:r>
        <w:t xml:space="preserve"> </w:t>
      </w:r>
      <w:r>
        <w:t xml:space="preserve">Georgia</w:t>
      </w:r>
    </w:p>
    <w:p>
      <w:pPr>
        <w:pStyle w:val="Author"/>
      </w:pPr>
      <w:r>
        <w:t xml:space="preserve">Jacob</w:t>
      </w:r>
      <w:r>
        <w:t xml:space="preserve"> </w:t>
      </w:r>
      <w:r>
        <w:t xml:space="preserve">T.</w:t>
      </w:r>
      <w:r>
        <w:t xml:space="preserve"> </w:t>
      </w:r>
      <w:r>
        <w:t xml:space="preserve">Dingwall</w:t>
      </w:r>
    </w:p>
    <w:bookmarkStart w:id="20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The manuscript was revised as a clean ecology-focused document using the numerical results in the v7 manuscript, its tables, and the released aggregate repository outputs. No model was rerun and no coefficient, confidence interval, p-value, q-value, sample size, or diagnostic result was estimated for this revision.</w:t>
      </w:r>
    </w:p>
    <w:p>
      <w:pPr>
        <w:pStyle w:val="BodyText"/>
      </w:pPr>
      <w:r>
        <w:t xml:space="preserve">True Word tracked changes were not preserved. The revised manuscript is a clean document accompanied by this section-level change log.</w:t>
      </w:r>
    </w:p>
    <w:bookmarkEnd w:id="20"/>
    <w:bookmarkStart w:id="21" w:name="major-changes"/>
    <w:p>
      <w:pPr>
        <w:pStyle w:val="Heading1"/>
      </w:pPr>
      <w:r>
        <w:t xml:space="preserve">Major changes</w:t>
      </w:r>
    </w:p>
    <w:p>
      <w:pPr>
        <w:numPr>
          <w:ilvl w:val="0"/>
          <w:numId w:val="1001"/>
        </w:numPr>
        <w:pStyle w:val="Compact"/>
      </w:pPr>
      <w:r>
        <w:t xml:space="preserve">Reframed the paper for ecologists, ornithologists, fisheries scientists, and community-science researchers.</w:t>
      </w:r>
    </w:p>
    <w:p>
      <w:pPr>
        <w:numPr>
          <w:ilvl w:val="0"/>
          <w:numId w:val="1001"/>
        </w:numPr>
        <w:pStyle w:val="Compact"/>
      </w:pPr>
      <w:r>
        <w:t xml:space="preserve">Renamed the binary outcome</w:t>
      </w:r>
      <w:r>
        <w:t xml:space="preserve"> </w:t>
      </w:r>
      <w:r>
        <w:rPr>
          <w:bCs/>
          <w:b/>
        </w:rPr>
        <w:t xml:space="preserve">checklist reporting</w:t>
      </w:r>
      <w:r>
        <w:t xml:space="preserve"> </w:t>
      </w:r>
      <w:r>
        <w:t xml:space="preserve">and the count outcome</w:t>
      </w:r>
      <w:r>
        <w:t xml:space="preserve"> </w:t>
      </w:r>
      <w:r>
        <w:rPr>
          <w:bCs/>
          <w:b/>
        </w:rPr>
        <w:t xml:space="preserve">conditional positive numeric count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Made the complete 49-species family the primary inferential set and treated the eleven named species as illustrative ecological profiles.</w:t>
      </w:r>
    </w:p>
    <w:p>
      <w:pPr>
        <w:numPr>
          <w:ilvl w:val="0"/>
          <w:numId w:val="1001"/>
        </w:numPr>
        <w:pStyle w:val="Compact"/>
      </w:pPr>
      <w:r>
        <w:t xml:space="preserve">Defined the estimand as a baseline-adjusted near/reference contrast of additive event-link slopes.</w:t>
      </w:r>
    </w:p>
    <w:p>
      <w:pPr>
        <w:numPr>
          <w:ilvl w:val="0"/>
          <w:numId w:val="1001"/>
        </w:numPr>
        <w:pStyle w:val="Compact"/>
      </w:pPr>
      <w:r>
        <w:t xml:space="preserve">Added a conceptual model equation, term definitions, a worked example, and the unit of the estimate.</w:t>
      </w:r>
    </w:p>
    <w:p>
      <w:pPr>
        <w:numPr>
          <w:ilvl w:val="0"/>
          <w:numId w:val="1001"/>
        </w:numPr>
        <w:pStyle w:val="Compact"/>
      </w:pPr>
      <w:r>
        <w:t xml:space="preserve">Defined source events and statistical event blocks and reported the verified Strait of Georgia totals.</w:t>
      </w:r>
    </w:p>
    <w:p>
      <w:pPr>
        <w:numPr>
          <w:ilvl w:val="0"/>
          <w:numId w:val="1001"/>
        </w:numPr>
        <w:pStyle w:val="Compact"/>
      </w:pPr>
      <w:r>
        <w:t xml:space="preserve">Recalibrated timing claims: the period-specific BH counts are now explicitly descriptive, and a direct active-minus-pre comparison is marked as outstanding.</w:t>
      </w:r>
    </w:p>
    <w:p>
      <w:pPr>
        <w:numPr>
          <w:ilvl w:val="0"/>
          <w:numId w:val="1001"/>
        </w:numPr>
        <w:pStyle w:val="Compact"/>
      </w:pPr>
      <w:r>
        <w:t xml:space="preserve">Replaced claims that the design separates herring from migration with a narrower statement about adjustment for seasonal changes shared by near and reference areas.</w:t>
      </w:r>
    </w:p>
    <w:p>
      <w:pPr>
        <w:numPr>
          <w:ilvl w:val="0"/>
          <w:numId w:val="1001"/>
        </w:numPr>
        <w:pStyle w:val="Compact"/>
      </w:pPr>
      <w:r>
        <w:t xml:space="preserve">Removed causal claims about herring-induced movement, consumption, abundance, and regional population change.</w:t>
      </w:r>
    </w:p>
    <w:p>
      <w:pPr>
        <w:numPr>
          <w:ilvl w:val="0"/>
          <w:numId w:val="1001"/>
        </w:numPr>
        <w:pStyle w:val="Compact"/>
      </w:pPr>
      <w:r>
        <w:t xml:space="preserve">Reframed unquantified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observations as a potentially informative third observation process without assuming the direction of bias.</w:t>
      </w:r>
    </w:p>
    <w:p>
      <w:pPr>
        <w:numPr>
          <w:ilvl w:val="0"/>
          <w:numId w:val="1001"/>
        </w:numPr>
        <w:pStyle w:val="Compact"/>
      </w:pPr>
      <w:r>
        <w:t xml:space="preserve">Retained</w:t>
      </w:r>
      <w:r>
        <w:t xml:space="preserve"> </w:t>
      </w:r>
      <w:r>
        <w:rPr>
          <w:rStyle w:val="VerbatimChar"/>
        </w:rPr>
        <w:t xml:space="preserve">nAGQ = 0</w:t>
      </w:r>
      <w:r>
        <w:t xml:space="preserve"> </w:t>
      </w:r>
      <w:r>
        <w:t xml:space="preserve">in the main Methods because it affects inference, while moving routine implementation language out of the ecological argument.</w:t>
      </w:r>
    </w:p>
    <w:p>
      <w:pPr>
        <w:numPr>
          <w:ilvl w:val="0"/>
          <w:numId w:val="1001"/>
        </w:numPr>
        <w:pStyle w:val="Compact"/>
      </w:pPr>
      <w:r>
        <w:t xml:space="preserve">Rewrote data and code availability without hashes, fixtures, production authorization, manifests, code-halting conditions, PowerShell, or other repository-governance language.</w:t>
      </w:r>
    </w:p>
    <w:bookmarkEnd w:id="21"/>
    <w:bookmarkStart w:id="22" w:name="section-level-change-log"/>
    <w:p>
      <w:pPr>
        <w:pStyle w:val="Heading1"/>
      </w:pPr>
      <w:r>
        <w:t xml:space="preserve">Section-level change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and 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noncausal title; post-result exploratory status; data sources, zones, response definitions, family-wide results, contradictory taxa, and limitations stated directly.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Shortened technical framing; clarified migration, habitat, access, and observer behaviour; made the ecological question and cautious expectations explicit.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Methods: data and 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Consolidated eligibility criteria; distinguished reporting, finite numeric counts,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, and ambiguity; removed occupancy and flock-size terminology.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Methods: event linkage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source event, event block, timing windows, spatial zones, concurrent links, travelling-checklist limitation, and additive link counts.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Methods: estimand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equation, worked example, contrast definition, and per-additional-event-link interpretation; replaced broad difference-in-differences wording.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Methods: models and multiplicity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 model families, links, main covariates, random effects,</w:t>
            </w:r>
            <w:r>
              <w:t xml:space="preserve"> </w:t>
            </w:r>
            <w:r>
              <w:rPr>
                <w:rStyle w:val="VerbatimChar"/>
              </w:rPr>
              <w:t xml:space="preserve">nAGQ = 0</w:t>
            </w:r>
            <w:r>
              <w:t xml:space="preserve">, BH procedure, and completed sensitivities; made the full family primary.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Reordered to lead with the complete family; retained positive, negative, null, failed, and singular outcomes; separated family-wide results from illustrative profiles.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Recast as a descriptive pattern; inserted a visible active-minus-pre analysis requirement.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Treated comparator results as exploratory and highlighted the wider dabbling-duck and goose contradiction.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Discussion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Reorganized into main findings, ecological interpretation, observation-process/design limitations, and implications; reduced repeated caveats.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Removed formal post-versus-pre, causal movement, consumption, and abundance claims.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Availability and declarations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Simplified for ecological readers and standardized all missing author information as visible placeholders.</w:t>
            </w:r>
          </w:p>
        </w:tc>
      </w:tr>
    </w:tbl>
    <w:bookmarkEnd w:id="22"/>
    <w:bookmarkStart w:id="23" w:name="figures-tables-and-references"/>
    <w:p>
      <w:pPr>
        <w:pStyle w:val="Heading1"/>
      </w:pPr>
      <w:r>
        <w:t xml:space="preserve">Figures, tables, and references</w:t>
      </w:r>
    </w:p>
    <w:p>
      <w:pPr>
        <w:pStyle w:val="FirstParagraph"/>
      </w:pPr>
      <w:r>
        <w:t xml:space="preserve">The existing released numerical values were preserved. Figures were regenerated from the released aggregate outputs only to change terminology and the estimand label; no model output changed. The complete-family figure is now presented before the illustrative-species figure.</w:t>
      </w:r>
    </w:p>
    <w:p>
      <w:pPr>
        <w:pStyle w:val="BodyText"/>
      </w:pPr>
      <w:r>
        <w:t xml:space="preserve">No new references were added. The generic difference-in-differences citations flagged for verification in the v7 README were not needed for the revised ecological description and are not cited in the revised main text.</w:t>
      </w:r>
    </w:p>
    <w:bookmarkEnd w:id="23"/>
    <w:bookmarkStart w:id="24" w:name="outstanding-work"/>
    <w:p>
      <w:pPr>
        <w:pStyle w:val="Heading1"/>
      </w:pPr>
      <w:r>
        <w:t xml:space="preserve">Outstanding work</w:t>
      </w:r>
    </w:p>
    <w:p>
      <w:pPr>
        <w:pStyle w:val="FirstParagraph"/>
      </w:pPr>
      <w:r>
        <w:t xml:space="preserve">The accompanying</w:t>
      </w:r>
      <w:r>
        <w:t xml:space="preserve"> </w:t>
      </w:r>
      <w:r>
        <w:t xml:space="preserve">“</w:t>
      </w:r>
      <w:r>
        <w:t xml:space="preserve">Outstanding analyses and author inputs</w:t>
      </w:r>
      <w:r>
        <w:t xml:space="preserve">”</w:t>
      </w:r>
      <w:r>
        <w:t xml:space="preserve"> </w:t>
      </w:r>
      <w:r>
        <w:t xml:space="preserve">document separates high-priority analyses, additional robustness work, presentation additions, and author-supplied information. Missing results remain visible in the clean manuscript as</w:t>
      </w:r>
      <w:r>
        <w:t xml:space="preserve"> </w:t>
      </w:r>
      <w:r>
        <w:rPr>
          <w:rStyle w:val="VerbatimChar"/>
        </w:rPr>
        <w:t xml:space="preserve">[[ANALYSIS REQUIRED: ...]]</w:t>
      </w:r>
      <w:r>
        <w:t xml:space="preserve">; missing author information remains as</w:t>
      </w:r>
      <w:r>
        <w:t xml:space="preserve"> </w:t>
      </w:r>
      <w:r>
        <w:rPr>
          <w:rStyle w:val="VerbatimChar"/>
        </w:rPr>
        <w:t xml:space="preserve">[[AUTHOR INPUT REQUIRED: ...]]</w:t>
      </w:r>
      <w:r>
        <w:t xml:space="preserve">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Times New Roman" w:hAnsi="Times New Roman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Times New Roman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Times New Roman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Times New Roman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Times New Roman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Times New Roman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Times New Roman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Times New Roman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ajorFont>
      <a:minorFont>
        <a:latin typeface="Times New Roman" panose="02110004020202020204"/>
        <a:ea typeface="Times New Roman"/>
        <a:cs typeface="Times New Roman"/>
        <a:font script="Jpan" typeface="Times New Roman"/>
        <a:font script="Hang" typeface="Times New Roman"/>
        <a:font script="Hans" typeface="Times New Roman"/>
        <a:font script="Hant" typeface="Times New Roman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  <a:font script="Armn" typeface="Times New Roman"/>
        <a:font script="Bugi" typeface="Times New Roman"/>
        <a:font script="Bopo" typeface="Times New Roman"/>
        <a:font script="Java" typeface="Times New Roman"/>
        <a:font script="Lisu" typeface="Times New Roman"/>
        <a:font script="Mymr" typeface="Times New Roman"/>
        <a:font script="Nkoo" typeface="Times New Roman"/>
        <a:font script="Olck" typeface="Times New Roman"/>
        <a:font script="Osma" typeface="Times New Roman"/>
        <a:font script="Phag" typeface="Times New Roman"/>
        <a:font script="Syrn" typeface="Times New Roman"/>
        <a:font script="Syrj" typeface="Times New Roman"/>
        <a:font script="Syre" typeface="Times New Roman"/>
        <a:font script="Sora" typeface="Times New Roman"/>
        <a:font script="Tale" typeface="Times New Roman"/>
        <a:font script="Talu" typeface="Times New Roman"/>
        <a:font script="Tfng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Revision memo</dc:title>
  <dc:creator>Jacob T. Dingwall</dc:creator>
  <cp:keywords/>
  <dcterms:created xsi:type="dcterms:W3CDTF">2026-07-24T00:02:59Z</dcterms:created>
  <dcterms:modified xsi:type="dcterms:W3CDTF">2026-07-24T00:02:59Z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subtitle">
    <vt:lpwstr>Event-linked changes in coastal-bird checklist reporting and counts during Pacific herring spawning in the Strait of Georgia</vt:lpwstr>
  </property>
</Properties>
</file>