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Outstanding</w:t>
      </w:r>
      <w:r>
        <w:t xml:space="preserve"> </w:t>
      </w:r>
      <w:r>
        <w:t xml:space="preserve">analyses</w:t>
      </w:r>
      <w:r>
        <w:t xml:space="preserve"> </w:t>
      </w:r>
      <w:r>
        <w:t xml:space="preserve">and</w:t>
      </w:r>
      <w:r>
        <w:t xml:space="preserve"> </w:t>
      </w:r>
      <w:r>
        <w:t xml:space="preserve">author</w:t>
      </w:r>
      <w:r>
        <w:t xml:space="preserve"> </w:t>
      </w:r>
      <w:r>
        <w:t xml:space="preserve">inputs</w:t>
      </w:r>
    </w:p>
    <w:p>
      <w:pPr>
        <w:pStyle w:val="Subtitle"/>
      </w:pPr>
      <w:r>
        <w:t xml:space="preserve">Priority</w:t>
      </w:r>
      <w:r>
        <w:t xml:space="preserve"> </w:t>
      </w:r>
      <w:r>
        <w:t xml:space="preserve">table</w:t>
      </w:r>
      <w:r>
        <w:t xml:space="preserve"> </w:t>
      </w:r>
      <w:r>
        <w:t xml:space="preserve">for</w:t>
      </w:r>
      <w:r>
        <w:t xml:space="preserve"> </w:t>
      </w:r>
      <w:r>
        <w:t xml:space="preserve">manuscript</w:t>
      </w:r>
      <w:r>
        <w:t xml:space="preserve"> </w:t>
      </w:r>
      <w:r>
        <w:t xml:space="preserve">completion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T.</w:t>
      </w:r>
      <w:r>
        <w:t xml:space="preserve"> </w:t>
      </w:r>
      <w:r>
        <w:t xml:space="preserve">Dingwall</w:t>
      </w:r>
    </w:p>
    <w:bookmarkStart w:id="20" w:name="interpretation"/>
    <w:p>
      <w:pPr>
        <w:pStyle w:val="Heading1"/>
      </w:pPr>
      <w:r>
        <w:t xml:space="preserve">Interpretation</w:t>
      </w:r>
    </w:p>
    <w:p>
      <w:pPr>
        <w:pStyle w:val="FirstParagraph"/>
      </w:pPr>
      <w:r>
        <w:t xml:space="preserve">The clean revised manuscript is scientifically accurate without the analyses below because unsupported claims were removed or marked as outstanding. The</w:t>
      </w:r>
      <w:r>
        <w:t xml:space="preserve"> </w:t>
      </w:r>
      <w:r>
        <w:rPr>
          <w:bCs/>
          <w:b/>
        </w:rPr>
        <w:t xml:space="preserve">high-priority</w:t>
      </w:r>
      <w:r>
        <w:t xml:space="preserve"> </w:t>
      </w:r>
      <w:r>
        <w:t xml:space="preserve">analyses are strongly recommended before submission if the paper will retain timing, checklist-reporting, and conditional-count inference as central contributions.</w:t>
      </w:r>
    </w:p>
    <w:bookmarkEnd w:id="20"/>
    <w:bookmarkStart w:id="21" w:name="analyses"/>
    <w:p>
      <w:pPr>
        <w:pStyle w:val="Heading1"/>
      </w:pPr>
      <w:r>
        <w:t xml:space="preserve">Analyses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or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manuscript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Species-level active-minus-pre contrasts using the full fixed-effect covariance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test whether active-period event-link slopes exceed pre-spawn slopes rather than comparing numbers of BH-significant species.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described as a descriptive pattern; visible analysis placeholder retained.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Family-level or hierarchical post-minus-pre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whether temporal concentration is supported across the species family without treating correlated contrasts as independent trials.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family-level temporal test claimed.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Laplace (</w:t>
            </w:r>
            <w:r>
              <w:rPr>
                <w:rStyle w:val="VerbatimChar"/>
              </w:rPr>
              <w:t xml:space="preserve">nAGQ = 1</w:t>
            </w:r>
            <w:r>
              <w:t xml:space="preserve">) refits for representative positive, negative, and null checklist-reporting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uncertainty from the</w:t>
            </w:r>
            <w:r>
              <w:t xml:space="preserve"> </w:t>
            </w:r>
            <w:r>
              <w:rPr>
                <w:rStyle w:val="VerbatimChar"/>
              </w:rPr>
              <w:t xml:space="preserve">nAGQ = 0</w:t>
            </w:r>
            <w:r>
              <w:t xml:space="preserve"> </w:t>
            </w:r>
            <w:r>
              <w:t xml:space="preserve">approximation for headline reporting models.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Approximation disclosed; stronger validation identified as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numeric count versus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model among reported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whether numeric quantification changes with exposure and avoid assuming the direction of selection bias.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treated as a third observation process; no conservative-bias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single-event sensitivity for both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current single-event summary for checklist reporting as well as conditional count and supply a complete results 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72,443-checklist count summary retained with qualification.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Nonlinearity or alternative encoding of event-link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the assumption that each additional recorded link has the same model-scale association. Minimum options: binary any-link, capped counts, or spline/categories where supported.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Per-link linear estimand stated explicitly as a limitation.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mixed-model implementation, such as</w:t>
            </w:r>
            <w:r>
              <w:t xml:space="preserve"> </w:t>
            </w:r>
            <w:r>
              <w:rPr>
                <w:rStyle w:val="VerbatimChar"/>
              </w:rPr>
              <w:t xml:space="preserve">glmmTMB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whether headline coefficients and uncertainty are implementation-dependent.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as validation work; no result implied.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Event-block bootstrap or other event-level resampling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whether Wald uncertainty is too narrow under event-level dependence.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bootstrap claim made.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Random-effect variances, gradients, convergence summaries, and influence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how much clustering is attributed to event blocks, observers, and locations and identify influential units.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model-completion status retained; unavailable details not invented.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 zero-truncated negative-binomial or hurdle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the lognormal conditional-count specification.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distributional assessment reported; no negative-binomial result claimed.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Stationary-only and short-distance travelling-checklist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route-to-point exposure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of travelling-checklist bias treated as unknown.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near/reference radii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dependence on the &lt;5 km and 5–20 km zones.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spatial scale interpreted narrowly.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Nearest-event assignment and capped-link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the additive-link estimand with more conventional exposure assignments.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estimator described explicitly; alternative results not implied.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and event blocks with adequate near/reference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whether the contrast is supported within the dependency units and how many units contribute both zones and periods.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analysis placeholder retained in Methods.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 overlap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to observers represented across zones or periods, where feasible, to reduce compositional changes.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Observer-composition confounding retained as a limitation.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Taxonomic-year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taxa affected by concept changes or unstable reporting periods.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harmonisation described; sensitivity not claimed.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checklist-reporting probabilities and percentage-point contrasts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ecologically interpretable absolute magnitudes at a stated exposure configuration.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event-link ratios retained without conversion to probability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geometric mean counts, observed medians/IQRs, and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proportions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interpretation of conditional counts and the selected numeric subset.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values estimated from ratios.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Placebo-onset or shifted-date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whether similar event-linked patterns arise at artificial onset 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as future validation; no placebo result claimed.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Study-area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checklist and spawning-event coverage at a privacy-safe spatial resolution.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but not required for the current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Event-link design schematic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how one checklist can contribute to several period-by-zone link counts and how those links enter the estimand.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 example added in text; no new schematic created.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 complete-family figure and larger timing heat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readability of species labels, estimates, and cell values without changing the released numerical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figures retained with revised terminology; journal production should use larger or landscape layouts.</w:t>
            </w:r>
          </w:p>
        </w:tc>
      </w:tr>
    </w:tbl>
    <w:bookmarkEnd w:id="21"/>
    <w:bookmarkStart w:id="22" w:name="author-inputs"/>
    <w:p>
      <w:pPr>
        <w:pStyle w:val="Heading1"/>
      </w:pPr>
      <w:r>
        <w:t xml:space="preserve">Author inputs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institutional postal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Corresponding-author telephone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identifier and/or repository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repository DOI for data and code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and code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Journal-compliant generative-AI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acknowledgements, or confirmation that none are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Fisheries and Oceans Canada dataset citation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and data availability</w:t>
            </w:r>
          </w:p>
        </w:tc>
      </w:tr>
    </w:tbl>
    <w:bookmarkEnd w:id="22"/>
    <w:bookmarkStart w:id="23" w:name="recommended-minimum-before-submission"/>
    <w:p>
      <w:pPr>
        <w:pStyle w:val="Heading1"/>
      </w:pPr>
      <w:r>
        <w:t xml:space="preserve">Recommended minimum before submission</w:t>
      </w:r>
    </w:p>
    <w:p>
      <w:pPr>
        <w:pStyle w:val="FirstParagraph"/>
      </w:pPr>
      <w:r>
        <w:t xml:space="preserve">If computational resources are limited, prioritise:</w:t>
      </w:r>
    </w:p>
    <w:p>
      <w:pPr>
        <w:numPr>
          <w:ilvl w:val="0"/>
          <w:numId w:val="1001"/>
        </w:numPr>
        <w:pStyle w:val="Compact"/>
      </w:pPr>
      <w:r>
        <w:t xml:space="preserve">species-level active-minus-pre contrasts;</w:t>
      </w:r>
    </w:p>
    <w:p>
      <w:pPr>
        <w:numPr>
          <w:ilvl w:val="0"/>
          <w:numId w:val="1001"/>
        </w:numPr>
        <w:pStyle w:val="Compact"/>
      </w:pPr>
      <w:r>
        <w:t xml:space="preserve">representative</w:t>
      </w:r>
      <w:r>
        <w:t xml:space="preserve"> </w:t>
      </w:r>
      <w:r>
        <w:rPr>
          <w:rStyle w:val="VerbatimChar"/>
        </w:rPr>
        <w:t xml:space="preserve">nAGQ = 1</w:t>
      </w:r>
      <w:r>
        <w:t xml:space="preserve"> </w:t>
      </w:r>
      <w:r>
        <w:t xml:space="preserve">checklist-reporting refits;</w:t>
      </w:r>
    </w:p>
    <w:p>
      <w:pPr>
        <w:numPr>
          <w:ilvl w:val="0"/>
          <w:numId w:val="1001"/>
        </w:numPr>
        <w:pStyle w:val="Compact"/>
      </w:pPr>
      <w:r>
        <w:t xml:space="preserve">finite-number-versus-</w:t>
      </w:r>
      <w:r>
        <w:rPr>
          <w:rStyle w:val="VerbatimChar"/>
        </w:rPr>
        <w:t xml:space="preserve">X</w:t>
      </w:r>
      <w:r>
        <w:t xml:space="preserve"> </w:t>
      </w:r>
      <w:r>
        <w:t xml:space="preserve">analysis;</w:t>
      </w:r>
    </w:p>
    <w:p>
      <w:pPr>
        <w:numPr>
          <w:ilvl w:val="0"/>
          <w:numId w:val="1001"/>
        </w:numPr>
        <w:pStyle w:val="Compact"/>
      </w:pPr>
      <w:r>
        <w:t xml:space="preserve">complete two-outcome single-event sensitivity; and</w:t>
      </w:r>
    </w:p>
    <w:p>
      <w:pPr>
        <w:numPr>
          <w:ilvl w:val="0"/>
          <w:numId w:val="1001"/>
        </w:numPr>
        <w:pStyle w:val="Compact"/>
      </w:pPr>
      <w:r>
        <w:t xml:space="preserve">one alternative to the linear additive-link exposure, preferably binary any-link or capped link counts.</w:t>
      </w:r>
    </w:p>
    <w:p>
      <w:pPr>
        <w:pStyle w:val="FirstParagraph"/>
      </w:pPr>
      <w:r>
        <w:t xml:space="preserve">The remaining analyses would improve robustness and interpretation but are less central to the principal scientific claims.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analyses and author inputs</dc:title>
  <dc:creator>Jacob T. Dingwall</dc:creator>
  <cp:keywords/>
  <dcterms:created xsi:type="dcterms:W3CDTF">2026-07-24T00:02:59Z</dcterms:created>
  <dcterms:modified xsi:type="dcterms:W3CDTF">2026-07-24T00:02:59Z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ubtitle">
    <vt:lpwstr>Priority table for manuscript completion</vt:lpwstr>
  </property>
</Properties>
</file>