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material:</w:t>
      </w:r>
      <w:r>
        <w:t xml:space="preserve"> </w:t>
      </w:r>
      <w:r>
        <w:t xml:space="preserve">Coastal-bird</w:t>
      </w:r>
      <w:r>
        <w:t xml:space="preserve"> </w:t>
      </w:r>
      <w:r>
        <w:t xml:space="preserve">responses</w:t>
      </w:r>
      <w:r>
        <w:t xml:space="preserve"> </w:t>
      </w:r>
      <w:r>
        <w:t xml:space="preserve">through</w:t>
      </w:r>
      <w:r>
        <w:t xml:space="preserve"> </w:t>
      </w:r>
      <w:r>
        <w:t xml:space="preserve">Pacific</w:t>
      </w:r>
      <w:r>
        <w:t xml:space="preserve"> </w:t>
      </w:r>
      <w:r>
        <w:t xml:space="preserve">herring</w:t>
      </w:r>
      <w:r>
        <w:t xml:space="preserve"> </w:t>
      </w:r>
      <w:r>
        <w:t xml:space="preserve">spawning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Strait</w:t>
      </w:r>
      <w:r>
        <w:t xml:space="preserve"> </w:t>
      </w:r>
      <w:r>
        <w:t xml:space="preserve">of</w:t>
      </w:r>
      <w:r>
        <w:t xml:space="preserve"> </w:t>
      </w:r>
      <w:r>
        <w:t xml:space="preserve">Georgia</w:t>
      </w:r>
    </w:p>
    <w:p>
      <w:pPr>
        <w:pStyle w:val="Author"/>
      </w:pPr>
      <w:r>
        <w:t xml:space="preserve">Jacob</w:t>
      </w:r>
      <w:r>
        <w:t xml:space="preserve"> </w:t>
      </w:r>
      <w:r>
        <w:t xml:space="preserve">T.</w:t>
      </w:r>
      <w:r>
        <w:t xml:space="preserve"> </w:t>
      </w:r>
      <w:r>
        <w:t xml:space="preserve">Dingwall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cope-and-version-relationship"/>
    <w:p>
      <w:pPr>
        <w:pStyle w:val="Heading1"/>
      </w:pPr>
      <w:r>
        <w:t xml:space="preserve">1. Scope and version relationship</w:t>
      </w:r>
    </w:p>
    <w:p>
      <w:pPr>
        <w:pStyle w:val="FirstParagraph"/>
      </w:pPr>
      <w:r>
        <w:t xml:space="preserve">This supplement accompanies the post-Stage 4A Strait of Georgia event-study refinement. The refinement is additive and post-result. It does not overwrite, relabel, or supersede the registered Stage 4A analysis. The v3 Stage 4A tables, figures, locks, hashes, execution record, and manuscript remain immutable history.</w:t>
      </w:r>
    </w:p>
    <w:p>
      <w:pPr>
        <w:pStyle w:val="BodyText"/>
      </w:pPr>
      <w:r>
        <w:t xml:space="preserve">The new complete aggregate family is reported in</w:t>
      </w:r>
      <w:r>
        <w:t xml:space="preserve"> </w:t>
      </w:r>
      <w:r>
        <w:rPr>
          <w:rStyle w:val="VerbatimChar"/>
        </w:rPr>
        <w:t xml:space="preserve">outputs/post_stage4a_sog_event_study_v1/</w:t>
      </w:r>
      <w:r>
        <w:t xml:space="preserve">. Manuscript-ready copies are in</w:t>
      </w:r>
      <w:r>
        <w:t xml:space="preserve"> </w:t>
      </w:r>
      <w:r>
        <w:rPr>
          <w:rStyle w:val="VerbatimChar"/>
        </w:rPr>
        <w:t xml:space="preserve">tables_v6/</w:t>
      </w:r>
      <w:r>
        <w:t xml:space="preserve">. No protected checklist, observer, locality, source-event identifier, exact coordinate, comment, shoreline field, model object, checkpoint, or record-level derivative is included.</w:t>
      </w:r>
    </w:p>
    <w:bookmarkEnd w:id="20"/>
    <w:bookmarkStart w:id="21" w:name="event-study-estimand"/>
    <w:p>
      <w:pPr>
        <w:pStyle w:val="Heading1"/>
      </w:pPr>
      <w:r>
        <w:t xml:space="preserve">2. Event-study estimand</w:t>
      </w:r>
    </w:p>
    <w:p>
      <w:pPr>
        <w:pStyle w:val="FirstParagraph"/>
      </w:pPr>
      <w:r>
        <w:t xml:space="preserve">The refinement asks whether the near/reference difference changes through recorded spawning relative to the same spatial difference during days −28 to −15. Near is &lt;5 km from a recorded source point and reference is 5–20 km. Six joint periods are crossed with the two zones. All concurrent source-event links are counted in their observed joint cell, while one checklist remains one model row.</w:t>
      </w:r>
    </w:p>
    <w:p>
      <w:pPr>
        <w:pStyle w:val="BodyText"/>
      </w:pPr>
      <w:r>
        <w:t xml:space="preserve">For period</w:t>
      </w:r>
      <w:r>
        <w:t xml:space="preserve"> </w:t>
      </w:r>
      <w:r>
        <w:rPr>
          <w:i/>
          <w:iCs/>
        </w:rPr>
        <w:t xml:space="preserve">p</w:t>
      </w:r>
      <w:r>
        <w:t xml:space="preserve">, the contrast is:</w:t>
      </w:r>
    </w:p>
    <w:p>
      <w:pPr>
        <w:pStyle w:val="BlockText"/>
      </w:pPr>
      <w:r>
        <w:t xml:space="preserve">(near at period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− reference at period</w:t>
      </w:r>
      <w:r>
        <w:t xml:space="preserve"> </w:t>
      </w:r>
      <w:r>
        <w:rPr>
          <w:i/>
          <w:iCs/>
        </w:rPr>
        <w:t xml:space="preserve">p</w:t>
      </w:r>
      <w:r>
        <w:t xml:space="preserve">) −</w:t>
      </w:r>
      <w:r>
        <w:t xml:space="preserve"> </w:t>
      </w:r>
      <w:r>
        <w:t xml:space="preserve">(near at baseline − reference at baseline).</w:t>
      </w:r>
    </w:p>
    <w:p>
      <w:pPr>
        <w:pStyle w:val="FirstParagraph"/>
      </w:pPr>
      <w:r>
        <w:t xml:space="preserve">Exponentiated detection values are ratios of near/reference odds ratios. Exponentiated conditional-count values are ratios of near/reference geometric-mean positive-count ratios. Values above one indicate a more positive spatial contrast than baseline; they do not estimate population change.</w:t>
      </w:r>
    </w:p>
    <w:p>
      <w:pPr>
        <w:pStyle w:val="BodyText"/>
      </w:pPr>
      <w:r>
        <w:t xml:space="preserve">The primary active contrast is the duration-weighted combination of days 0–3 and 4–14. The pre-spawn summary equally combines days −14 to −8 and −7 to −1. All fixed windows and weights were executed without outcome-selected collapse.</w:t>
      </w:r>
    </w:p>
    <w:bookmarkEnd w:id="21"/>
    <w:bookmarkStart w:id="22" w:name="complete-event-study-evidence"/>
    <w:p>
      <w:pPr>
        <w:pStyle w:val="Heading1"/>
      </w:pPr>
      <w:r>
        <w:t xml:space="preserve">3. Complete event-study evidence</w:t>
      </w:r>
    </w:p>
    <w:p>
      <w:pPr>
        <w:pStyle w:val="FirstParagraph"/>
      </w:pPr>
      <w:r>
        <w:t xml:space="preserve">The complete family contains 49 core species, both response components where supported, and every registered contrast.</w:t>
      </w:r>
      <w:r>
        <w:t xml:space="preserve"> </w:t>
      </w:r>
      <w:r>
        <w:rPr>
          <w:rStyle w:val="VerbatimChar"/>
        </w:rPr>
        <w:t xml:space="preserve">Table_S_event_study_all_49_species_v6.csv</w:t>
      </w:r>
      <w:r>
        <w:t xml:space="preserve"> </w:t>
      </w:r>
      <w:r>
        <w:t xml:space="preserve">retains estimates, standard errors, confidence intervals, ratios, p-values, BH q-values, model sample sizes, status, and multiplicity family.</w:t>
      </w:r>
    </w:p>
    <w:p>
      <w:pPr>
        <w:pStyle w:val="BodyText"/>
      </w:pPr>
      <w:r>
        <w:t xml:space="preserve">The main-species active panel is</w:t>
      </w:r>
      <w:r>
        <w:t xml:space="preserve"> </w:t>
      </w:r>
      <w:r>
        <w:rPr>
          <w:rStyle w:val="VerbatimChar"/>
        </w:rPr>
        <w:t xml:space="preserve">Table_3_main_species_active_v6.csv</w:t>
      </w:r>
      <w:r>
        <w:t xml:space="preserve">; its full period companion is</w:t>
      </w:r>
      <w:r>
        <w:t xml:space="preserve"> </w:t>
      </w:r>
      <w:r>
        <w:rPr>
          <w:rStyle w:val="VerbatimChar"/>
        </w:rPr>
        <w:t xml:space="preserve">Table_4_main_species_periods_v6.csv</w:t>
      </w:r>
      <w:r>
        <w:t xml:space="preserve">. These files include Hooded Merganser, Surf Scoter, White-winged Scoter, Common Merganser, Glaucous-winged Gull, Mallard, Harlequin Duck, American Crow, Short-billed Gull, Bald Eagle, and Common Raven.</w:t>
      </w:r>
    </w:p>
    <w:p>
      <w:pPr>
        <w:pStyle w:val="BodyText"/>
      </w:pPr>
      <w:r>
        <w:t xml:space="preserve">Across estimable core species, BH-adjusted interaction counts were: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Detection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Detection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 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Pre-spawn, −14 to −1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Spawn start, 0–3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egg, 4–14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egg, 15–28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active, 0–14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Counts refer to BH q &lt; 0.05 within the 49-species outcome-and-contrast family. They are descriptive summaries of correlated contrasts, not independent binomial trials.</w:t>
      </w:r>
    </w:p>
    <w:bookmarkEnd w:id="22"/>
    <w:bookmarkStart w:id="23" w:name="specificity-comparators"/>
    <w:p>
      <w:pPr>
        <w:pStyle w:val="Heading1"/>
      </w:pPr>
      <w:r>
        <w:t xml:space="preserve">4. Specificity comparators</w:t>
      </w:r>
    </w:p>
    <w:p>
      <w:pPr>
        <w:pStyle w:val="FirstParagraph"/>
      </w:pPr>
      <w:r>
        <w:t xml:space="preserve">Gadwall and Northern Shoveler were detection-only specificity comparators, not guaranteed negative controls. Their complete results are in</w:t>
      </w:r>
      <w:r>
        <w:t xml:space="preserve"> </w:t>
      </w:r>
      <w:r>
        <w:rPr>
          <w:rStyle w:val="VerbatimChar"/>
        </w:rPr>
        <w:t xml:space="preserve">Table_S_specificity_comparators_v6.csv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 near/reference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Pre-spawn interaction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Spawn 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Early egg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 egg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 0–14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Gadwall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 (0.80–0.97), q = 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0.94, q = 0.419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1.02, q = 0.856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1.03, q = 0.701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1.05, q = 0.506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 (0.90–1.17), q = 0.704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Shoveler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 (0.90–1.11), q = 0.949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1.07, q = 0.419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1.24, q = 0.0917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1.25, q = 0.0114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1.27, q = 0.00246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 (1.08–1.43), q = 0.00564</w:t>
            </w:r>
          </w:p>
        </w:tc>
      </w:tr>
    </w:tbl>
    <w:p>
      <w:pPr>
        <w:pStyle w:val="BodyText"/>
      </w:pPr>
      <w:r>
        <w:t xml:space="preserve">Gadwall did not reproduce the active interaction. Northern Shoveler did and therefore demonstrates residual time-varying structure. Candidate explanations include zone-specific migration or habitat use, shoreline access, checklist submission, preferential visitation, source-date or source-point classification, and indirect ecology. The comparator result limits causal and trophic-specific interpretation.</w:t>
      </w:r>
    </w:p>
    <w:bookmarkEnd w:id="23"/>
    <w:bookmarkStart w:id="24" w:name="model-completion-and-warnings"/>
    <w:p>
      <w:pPr>
        <w:pStyle w:val="Heading1"/>
      </w:pPr>
      <w:r>
        <w:t xml:space="preserve">5. Model completion and warnings</w:t>
      </w:r>
    </w:p>
    <w:p>
      <w:pPr>
        <w:pStyle w:val="FirstParagraph"/>
      </w:pPr>
      <w:r>
        <w:t xml:space="preserve">The family contained 100 species-response fits and 1,400 contrast rows. Model statuses were 95 completed, one completed with a singular warning, three failed for insufficient support, and one failed numerically without fallback.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Surfbird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positive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insufficient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joint-cell support gate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Rhinoceros Auklet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positive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insufficient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joint-cell support gate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Glaucous Gull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numerical fit, no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failure code retained; no simplified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Glaucous Gull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positive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insufficient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joint-cell support gate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Gull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positive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with singular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retained with warning</w:t>
            </w:r>
          </w:p>
        </w:tc>
      </w:tr>
    </w:tbl>
    <w:p>
      <w:pPr>
        <w:pStyle w:val="BodyText"/>
      </w:pPr>
      <w:r>
        <w:t xml:space="preserve">All 22 main-panel fits completed without convergence failure, rank deficiency, or singularity. The smallest released main-panel joint-cell support was 259 rows. Global joint support ranged from 2,992 near-zone checklists at spawn start to 28,655 reference-zone checklists in late egg. Exact year counts for near early- and immediate-pre cells were suppressed because fewer than 20 years were represented.</w:t>
      </w:r>
    </w:p>
    <w:bookmarkEnd w:id="24"/>
    <w:bookmarkStart w:id="25" w:name="X3b849a22f1d6dac6ccf7ebaedafc33829d8d5e4"/>
    <w:p>
      <w:pPr>
        <w:pStyle w:val="Heading1"/>
      </w:pPr>
      <w:r>
        <w:t xml:space="preserve">6. Numerical, multiplicity, privacy, and integrity checks</w:t>
      </w:r>
    </w:p>
    <w:p>
      <w:pPr>
        <w:pStyle w:val="FirstParagraph"/>
      </w:pPr>
      <w:r>
        <w:t xml:space="preserve">All 1,344 finite contrast rows reproduced their exponentiated estimates and confidence limits. No written estimate was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or infinite. BH q-values were independently recalculated across all 42 role-outcome-contrast families and matched with maximum absolute difference (1.78</w:t>
      </w:r>
      <w:r>
        <w:t xml:space="preserve">^{-15}).</w:t>
      </w:r>
    </w:p>
    <w:p>
      <w:pPr>
        <w:pStyle w:val="BodyText"/>
      </w:pPr>
      <w:r>
        <w:t xml:space="preserve">The production execution used committed code</w:t>
      </w:r>
      <w:r>
        <w:t xml:space="preserve"> </w:t>
      </w:r>
      <w:r>
        <w:rPr>
          <w:rStyle w:val="VerbatimChar"/>
        </w:rPr>
        <w:t xml:space="preserve">6bfef2c5b828ca392255d5b3365a2f84b8a2f9f2</w:t>
      </w:r>
      <w:r>
        <w:t xml:space="preserve">. Four protected-input hashes and seven released-output hashes passed. The source-link hash and concurrent-link joint-pairing gates passed. Zero records from 2026 onward were read.</w:t>
      </w:r>
    </w:p>
    <w:p>
      <w:pPr>
        <w:pStyle w:val="BodyText"/>
      </w:pPr>
      <w:r>
        <w:t xml:space="preserve">The release privacy scan detected no checklist, observer, locality, coordinate, credential, or protected-path violation. It emitted known invalid-UTF-8 read warnings while traversing non-UTF-8 artifacts; no violation resulted. Frozen Stage 4A outputs and decision records had no tracked changes.</w:t>
      </w:r>
    </w:p>
    <w:bookmarkEnd w:id="25"/>
    <w:bookmarkStart w:id="26" w:name="historical-registered-stage-4a-analyses"/>
    <w:p>
      <w:pPr>
        <w:pStyle w:val="Heading1"/>
      </w:pPr>
      <w:r>
        <w:t xml:space="preserve">7. Historical registered Stage 4A analyses</w:t>
      </w:r>
    </w:p>
    <w:p>
      <w:pPr>
        <w:pStyle w:val="FirstParagraph"/>
      </w:pPr>
      <w:r>
        <w:t xml:space="preserve">The following registered Stage 4A outputs remain part of the complete scientific record and are retained unchanged:</w:t>
      </w:r>
    </w:p>
    <w:p>
      <w:pPr>
        <w:pStyle w:val="Compact"/>
        <w:numPr>
          <w:ilvl w:val="0"/>
          <w:numId w:val="1001"/>
        </w:numPr>
      </w:pPr>
      <w:r>
        <w:t xml:space="preserve">historical M05 timing and distance family:</w:t>
      </w:r>
      <w:r>
        <w:t xml:space="preserve"> </w:t>
      </w:r>
      <w:r>
        <w:rPr>
          <w:rStyle w:val="VerbatimChar"/>
        </w:rPr>
        <w:t xml:space="preserve">tables_v3/Table_S2_all_M05_time_distance_effects_v3.csv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historical M05 guild timing family:</w:t>
      </w:r>
      <w:r>
        <w:t xml:space="preserve"> </w:t>
      </w:r>
      <w:r>
        <w:rPr>
          <w:rStyle w:val="VerbatimChar"/>
        </w:rPr>
        <w:t xml:space="preserve">tables_v3/Table_S2a_guild_event_time_effects_v3.csv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historical M08 active-minus-contemporaneous-reference contrasts:</w:t>
      </w:r>
      <w:r>
        <w:t xml:space="preserve"> </w:t>
      </w:r>
      <w:r>
        <w:rPr>
          <w:rStyle w:val="VerbatimChar"/>
        </w:rPr>
        <w:t xml:space="preserve">tables_v3/Table_S12_M08_active_minus_reference_v3.csv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historical M02 complete species effects:</w:t>
      </w:r>
      <w:r>
        <w:t xml:space="preserve"> </w:t>
      </w:r>
      <w:r>
        <w:rPr>
          <w:rStyle w:val="VerbatimChar"/>
        </w:rPr>
        <w:t xml:space="preserve">tables_v3/Table_S1_all_species_effects_v3.csv</w:t>
      </w:r>
      <w:r>
        <w:t xml:space="preserve">; and</w:t>
      </w:r>
    </w:p>
    <w:p>
      <w:pPr>
        <w:pStyle w:val="Compact"/>
        <w:numPr>
          <w:ilvl w:val="0"/>
          <w:numId w:val="1001"/>
        </w:numPr>
      </w:pPr>
      <w:r>
        <w:t xml:space="preserve">historical M29 specificity results:</w:t>
      </w:r>
      <w:r>
        <w:t xml:space="preserve"> </w:t>
      </w:r>
      <w:r>
        <w:rPr>
          <w:rStyle w:val="VerbatimChar"/>
        </w:rPr>
        <w:t xml:space="preserve">tables_v3/Table_4_specificity_sensitivity_v3.csv</w:t>
      </w:r>
      <w:r>
        <w:t xml:space="preserve">.</w:t>
      </w:r>
    </w:p>
    <w:p>
      <w:pPr>
        <w:pStyle w:val="FirstParagraph"/>
      </w:pPr>
      <w:r>
        <w:t xml:space="preserve">M05 used the registered six-window timing structure with early pre-spawn (−42 to −29 d) as baseline and separate additive time and distance margins. M08 was the registered active-minus-reference contrast for the historical active classification. Neither is the present joint period-by-zone difference-in-differences. The historical legacy aggregate release also did not identify the component-level engine after its allowed fitting path. Those facts are preserved rather than repaired retrospectively.</w:t>
      </w:r>
    </w:p>
    <w:bookmarkEnd w:id="26"/>
    <w:bookmarkStart w:id="27" w:name="reproducibility-and-governance"/>
    <w:p>
      <w:pPr>
        <w:pStyle w:val="Heading1"/>
      </w:pPr>
      <w:r>
        <w:t xml:space="preserve">8. Reproducibility and governance</w:t>
      </w:r>
    </w:p>
    <w:p>
      <w:pPr>
        <w:pStyle w:val="FirstParagraph"/>
      </w:pPr>
      <w:r>
        <w:t xml:space="preserve">Fixture execution tested exact period and zone boundaries, concurrent-link pairing, join cardinality, detection/count semantics, and protected-input guards. Production required the explicit acknowledgement</w:t>
      </w:r>
      <w:r>
        <w:t xml:space="preserve"> </w:t>
      </w:r>
      <w:r>
        <w:rPr>
          <w:rStyle w:val="VerbatimChar"/>
        </w:rPr>
        <w:t xml:space="preserve">through_2025_post_result_refinement_v1</w:t>
      </w:r>
      <w:r>
        <w:t xml:space="preserve">. No result was used to change the fixed periods, primary 0–14 day weight, species definitions, eligibility, model structure, or specificity panel.</w:t>
      </w:r>
    </w:p>
    <w:p>
      <w:pPr>
        <w:pStyle w:val="BodyText"/>
      </w:pPr>
      <w:r>
        <w:t xml:space="preserve">Current results are exploratory and estimand-refining until prospective confirmation. The 2026–2028 response remains locked and may not be inspected through an interim look. A future confirmation must use the complete prospective release and an approved execution package.</w:t>
      </w:r>
    </w:p>
    <w:bookmarkEnd w:id="27"/>
    <w:bookmarkStart w:id="28" w:name="supplementary-file-inventory"/>
    <w:p>
      <w:pPr>
        <w:pStyle w:val="Heading1"/>
      </w:pPr>
      <w:r>
        <w:t xml:space="preserve">9. Supplementary file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Table_3_main_species_active_v6.csv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11-species primary 0–14 day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Table_4_main_species_periods_v6.csv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baseline, pre-spawn, onset, egg, and active contrasts for 11 species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Table_S_event_study_all_49_species_v6.csv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core-species effect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Table_S_specificity_comparators_v6.csv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Gadwall and Northern Shoveler detection families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model_diagnostics_v1.csv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fit states, warnings, and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model_term_support_v1.csv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joint-cell model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joint_exposure_support_v1.csv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period-by-zone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execution_record_v1.yml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authorization, hashes, counts, and final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output_hash_manifest_v1.csv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hashes for released aggregate outputs</w:t>
            </w:r>
          </w:p>
        </w:tc>
      </w:tr>
    </w:tbl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material: Coastal-bird responses through Pacific herring spawning in the Strait of Georgia</dc:title>
  <dc:creator>Jacob T. Dingwall</dc:creator>
  <dc:language>en</dc:language>
  <cp:keywords/>
  <dcterms:created xsi:type="dcterms:W3CDTF">2026-07-23T07:20:26Z</dcterms:created>
  <dcterms:modified xsi:type="dcterms:W3CDTF">2026-07-23T07:20:26Z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mer_references_v6.bib</vt:lpwstr>
  </property>
  <property fmtid="{D5CDD505-2E9C-101B-9397-08002B2CF9AE}" pid="5" name="by-author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