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4.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Coastal-bird</w:t>
      </w:r>
      <w:r>
        <w:t xml:space="preserve"> </w:t>
      </w:r>
      <w:r>
        <w:t xml:space="preserve">responses</w:t>
      </w:r>
      <w:r>
        <w:t xml:space="preserve"> </w:t>
      </w:r>
      <w:r>
        <w:t xml:space="preserve">through</w:t>
      </w:r>
      <w:r>
        <w:t xml:space="preserve"> </w:t>
      </w:r>
      <w:r>
        <w:t xml:space="preserve">Pacific</w:t>
      </w:r>
      <w:r>
        <w:t xml:space="preserve"> </w:t>
      </w:r>
      <w:r>
        <w:t xml:space="preserve">herring</w:t>
      </w:r>
      <w:r>
        <w:t xml:space="preserve"> </w:t>
      </w:r>
      <w:r>
        <w:t xml:space="preserve">spawning</w:t>
      </w:r>
      <w:r>
        <w:t xml:space="preserve"> </w:t>
      </w:r>
      <w:r>
        <w:t xml:space="preserve">in</w:t>
      </w:r>
      <w:r>
        <w:t xml:space="preserve"> </w:t>
      </w:r>
      <w:r>
        <w:t xml:space="preserve">the</w:t>
      </w:r>
      <w:r>
        <w:t xml:space="preserve"> </w:t>
      </w:r>
      <w:r>
        <w:t xml:space="preserve">Strait</w:t>
      </w:r>
      <w:r>
        <w:t xml:space="preserve"> </w:t>
      </w:r>
      <w:r>
        <w:t xml:space="preserve">of</w:t>
      </w:r>
      <w:r>
        <w:t xml:space="preserve"> </w:t>
      </w:r>
      <w:r>
        <w:t xml:space="preserve">Georgia</w:t>
      </w:r>
    </w:p>
    <w:p>
      <w:pPr>
        <w:pStyle w:val="Subtitle"/>
      </w:pPr>
      <w:r>
        <w:t xml:space="preserve">Full-length</w:t>
      </w:r>
      <w:r>
        <w:t xml:space="preserve"> </w:t>
      </w:r>
      <w:r>
        <w:t xml:space="preserve">Article</w:t>
      </w:r>
    </w:p>
    <w:p>
      <w:pPr>
        <w:pStyle w:val="Author"/>
      </w:pPr>
      <w:r>
        <w:t xml:space="preserve">Jacob</w:t>
      </w:r>
      <w:r>
        <w:t xml:space="preserve"> </w:t>
      </w:r>
      <w:r>
        <w:t xml:space="preserve">T.</w:t>
      </w:r>
      <w:r>
        <w:t xml:space="preserve"> </w:t>
      </w:r>
      <w:r>
        <w:t xml:space="preserve">Dingwall</w:t>
      </w:r>
    </w:p>
    <w:p>
      <w:pPr>
        <w:pStyle w:val="FirstParagraph"/>
      </w:pPr>
      <w:r>
        <w:rPr>
          <w:b/>
          <w:bCs/>
        </w:rPr>
        <w:t xml:space="preserve">Affiliation:</w:t>
      </w:r>
      <w:r>
        <w:t xml:space="preserve"> </w:t>
      </w:r>
      <w:r>
        <w:t xml:space="preserve">University of Victoria, [AUTHOR TO SUPPLY: full postal address], Canada</w:t>
      </w:r>
      <w:r>
        <w:t xml:space="preserve"> </w:t>
      </w:r>
      <w:r>
        <w:rPr>
          <w:b/>
          <w:bCs/>
        </w:rPr>
        <w:t xml:space="preserve">Corresponding author:</w:t>
      </w:r>
      <w:r>
        <w:t xml:space="preserve"> </w:t>
      </w:r>
      <w:r>
        <w:t xml:space="preserve">Jacob T. Dingwall; dingwalljake@gmail.com; [AUTHOR TO SUPPLY: telephone number]</w:t>
      </w:r>
      <w:r>
        <w:t xml:space="preserve"> </w:t>
      </w:r>
      <w:r>
        <w:rPr>
          <w:b/>
          <w:bCs/>
        </w:rPr>
        <w:t xml:space="preserve">ORCID:</w:t>
      </w:r>
      <w:r>
        <w:t xml:space="preserve"> </w:t>
      </w:r>
      <w:r>
        <w:t xml:space="preserve">0009-0007-8389-6947</w:t>
      </w:r>
    </w:p>
    <w:bookmarkStart w:id="20" w:name="abstract"/>
    <w:p>
      <w:pPr>
        <w:pStyle w:val="Heading1"/>
      </w:pPr>
      <w:r>
        <w:t xml:space="preserve">Abstract</w:t>
      </w:r>
    </w:p>
    <w:p>
      <w:pPr>
        <w:pStyle w:val="FirstParagraph"/>
      </w:pPr>
      <w:r>
        <w:t xml:space="preserve">Pacific herring (</w:t>
      </w:r>
      <w:r>
        <w:rPr>
          <w:i/>
          <w:iCs/>
        </w:rPr>
        <w:t xml:space="preserve">Clupea pallasii</w:t>
      </w:r>
      <w:r>
        <w:t xml:space="preserve">) spawning is a brief, spatially concentrated resource pulse used by coastal birds, but spring migration and shoreline sampling produce similar calendar patterns. In a post-result refinement of an earlier registered analysis, we linked Fisheries and Oceans Canada spawn records to 217,200 complete eBird checklists from the Strait of Georgia, British Columbia (2005–2025), and asked whether the near/reference difference (&lt;5 km versus contemporaneous checklists 5–20 km away) changed after onset relative to a −28 to −15 day baseline. Mixed models kept detection and finite positive flock size as distinct outcomes; days 0–14 were the active period. After Benjamini–Hochberg adjustment across 49 species, the active interaction was positive for detection in 13 of 48 species and negative in six; for flock size, positive in 19 of 46 and negative in one. The largest increases were in gulls and sea ducks: American Herring Gull detection 1.49, Iceland Gull 1.43, and Long-tailed Duck flock size 1.49; Ring-billed Gull fell in both. Surf Scoter, White-winged Scoter, and Harlequin Duck had larger flocks without higher detection; Common Merganser, Glaucous-winged Gull, Short-billed Gull, and Bald Eagle increased in both. Positive interactions concentrated after recorded onset, not the 14 days before it. Four of five dabbling ducks and Canada Goose also increased, and Northern Pintail’s detection interaction (1.29) exceeded any in the panel, showing that time-varying habitat, access, or reporting structure remains. The results are consistent with taxon-specific local aggregation, especially through flock size, but do not identify movement, abundance, or causation.</w:t>
      </w:r>
    </w:p>
    <w:p>
      <w:pPr>
        <w:pStyle w:val="BodyText"/>
      </w:pPr>
      <w:r>
        <w:rPr>
          <w:b/>
          <w:bCs/>
        </w:rPr>
        <w:t xml:space="preserve">Keywords:</w:t>
      </w:r>
      <w:r>
        <w:t xml:space="preserve"> </w:t>
      </w:r>
      <w:r>
        <w:t xml:space="preserve">Pacific herring; eBird; community science; resource pulse; coastal birds; event study; flock size</w:t>
      </w:r>
    </w:p>
    <w:bookmarkEnd w:id="20"/>
    <w:bookmarkStart w:id="21" w:name="introduction"/>
    <w:p>
      <w:pPr>
        <w:pStyle w:val="Heading1"/>
      </w:pPr>
      <w:r>
        <w:t xml:space="preserve">1. Introduction</w:t>
      </w:r>
    </w:p>
    <w:p>
      <w:pPr>
        <w:pStyle w:val="FirstParagraph"/>
      </w:pPr>
      <w:r>
        <w:t xml:space="preserve">Ecological resource pulses are short-lived increases in resource availability that can reorganize consumer distributions and interactions well beyond the duration of the pulse. Their consequences depend on the amount, accessibility, and timing of the resource, on the mobility and foraging traits of consumers, and on the spatial scale at which redistribution is observed. In coastal systems, pulses can connect pelagic production to shallow subtidal, intertidal, terrestrial, and aerial consumers. When a forage fish enters shallow water to reproduce the connection is conspicuous, but the community response is not: it varies by consumer trait, by the accessibility of each prey pathway, and by the scale at which it is observed.</w:t>
      </w:r>
    </w:p>
    <w:p>
      <w:pPr>
        <w:pStyle w:val="BodyText"/>
      </w:pPr>
      <w:r>
        <w:t xml:space="preserve">Pacific herring spawning is one such pulse. Adults move into coastal waters and deposit adhesive eggs on vegetation and other shallow substrates. Adults, eggs, milt, carcasses, and associated prey then become available through different pathways and over different intervals</w:t>
      </w:r>
      <w:r>
        <w:t xml:space="preserve"> </w:t>
      </w:r>
      <w:r>
        <w:t xml:space="preserve">(</w:t>
      </w:r>
      <w:hyperlink w:anchor="ref-haegele1985">
        <w:r>
          <w:rPr>
            <w:rStyle w:val="Hyperlink"/>
          </w:rPr>
          <w:t xml:space="preserve">Haegele and Schweigert 1985</w:t>
        </w:r>
      </w:hyperlink>
      <w:r>
        <w:t xml:space="preserve">;</w:t>
      </w:r>
      <w:r>
        <w:t xml:space="preserve"> </w:t>
      </w:r>
      <w:hyperlink w:anchor="ref-hay1987">
        <w:r>
          <w:rPr>
            <w:rStyle w:val="Hyperlink"/>
          </w:rPr>
          <w:t xml:space="preserve">D. E. Hay and Kronlund 1987</w:t>
        </w:r>
      </w:hyperlink>
      <w:r>
        <w:t xml:space="preserve">;</w:t>
      </w:r>
      <w:r>
        <w:t xml:space="preserve"> </w:t>
      </w:r>
      <w:hyperlink w:anchor="ref-hay2009">
        <w:r>
          <w:rPr>
            <w:rStyle w:val="Hyperlink"/>
          </w:rPr>
          <w:t xml:space="preserve">Douglas E. Hay et al. 2009</w:t>
        </w:r>
      </w:hyperlink>
      <w:r>
        <w:t xml:space="preserve">;</w:t>
      </w:r>
      <w:r>
        <w:t xml:space="preserve"> </w:t>
      </w:r>
      <w:hyperlink w:anchor="ref-grinnell2023">
        <w:r>
          <w:rPr>
            <w:rStyle w:val="Hyperlink"/>
          </w:rPr>
          <w:t xml:space="preserve">Grinnell et al. 2023</w:t>
        </w:r>
      </w:hyperlink>
      <w:r>
        <w:t xml:space="preserve">;</w:t>
      </w:r>
      <w:r>
        <w:t xml:space="preserve"> </w:t>
      </w:r>
      <w:hyperlink w:anchor="ref-rooper2024">
        <w:r>
          <w:rPr>
            <w:rStyle w:val="Hyperlink"/>
          </w:rPr>
          <w:t xml:space="preserve">Rooper et al. 2024</w:t>
        </w:r>
      </w:hyperlink>
      <w:r>
        <w:t xml:space="preserve">)</w:t>
      </w:r>
      <w:r>
        <w:t xml:space="preserve">. Recorded spawn is patchy among shorelines and years, and the link between a recorded source point and biologically accessible food depends on spawning depth, substrate, tides, weather, shoreline configuration, event duration, and egg survival. A date and a point describe a documented event, not the footprint of prey available to birds.</w:t>
      </w:r>
    </w:p>
    <w:p>
      <w:pPr>
        <w:pStyle w:val="BodyText"/>
      </w:pPr>
      <w:r>
        <w:t xml:space="preserve">The Strait of Georgia supports a dense mosaic of spawning shorelines within a region used by large numbers of coastal birds, which makes it well suited to this question and also illustrates its central difficulty. Estuaries, rocky shores, eelgrass and macroalgal substrates, urban waterfronts, islands, and narrow channels differ in how roe is deposited and retained and in how birds reach it. They also differ in road access, recreational use, visibility from shore, and the density of bird observations. Ecological opportunity and observation opportunity are therefore entangled at the scale of a single checklist.</w:t>
      </w:r>
    </w:p>
    <w:p>
      <w:pPr>
        <w:pStyle w:val="BodyText"/>
      </w:pPr>
      <w:r>
        <w:t xml:space="preserve">Bird responses should be heterogeneous for reasons of trait and timing. Diving sea ducks can reach attached roe, piscivores can take adults or prey concentrated around spawning, gulls and corvids can exploit eggs, fish, carcasses, or exposed material, and raptors can hunt or scavenge. Field observations and telemetry support these pathways directly: waterbirds aggregate near spawning areas, consume roe or adult fish, change foraging behaviour, and redistribute with spawn timing</w:t>
      </w:r>
      <w:r>
        <w:t xml:space="preserve"> </w:t>
      </w:r>
      <w:r>
        <w:t xml:space="preserve">(</w:t>
      </w:r>
      <w:hyperlink w:anchor="ref-haegele1993">
        <w:r>
          <w:rPr>
            <w:rStyle w:val="Hyperlink"/>
          </w:rPr>
          <w:t xml:space="preserve">Haegele 1993</w:t>
        </w:r>
      </w:hyperlink>
      <w:r>
        <w:t xml:space="preserve">;</w:t>
      </w:r>
      <w:r>
        <w:t xml:space="preserve"> </w:t>
      </w:r>
      <w:hyperlink w:anchor="ref-sullivan2002">
        <w:r>
          <w:rPr>
            <w:rStyle w:val="Hyperlink"/>
          </w:rPr>
          <w:t xml:space="preserve">T. M. Sullivan, Butler, and Boyd 2002</w:t>
        </w:r>
      </w:hyperlink>
      <w:r>
        <w:t xml:space="preserve">;</w:t>
      </w:r>
      <w:r>
        <w:t xml:space="preserve"> </w:t>
      </w:r>
      <w:hyperlink w:anchor="ref-rodway2003">
        <w:r>
          <w:rPr>
            <w:rStyle w:val="Hyperlink"/>
          </w:rPr>
          <w:t xml:space="preserve">Rodway et al. 2003</w:t>
        </w:r>
      </w:hyperlink>
      <w:r>
        <w:t xml:space="preserve">;</w:t>
      </w:r>
      <w:r>
        <w:t xml:space="preserve"> </w:t>
      </w:r>
      <w:hyperlink w:anchor="ref-lewis2007">
        <w:r>
          <w:rPr>
            <w:rStyle w:val="Hyperlink"/>
          </w:rPr>
          <w:t xml:space="preserve">Lewis, Esler, and Boyd 2007</w:t>
        </w:r>
      </w:hyperlink>
      <w:r>
        <w:t xml:space="preserve">;</w:t>
      </w:r>
      <w:r>
        <w:t xml:space="preserve"> </w:t>
      </w:r>
      <w:hyperlink w:anchor="ref-lok2008">
        <w:r>
          <w:rPr>
            <w:rStyle w:val="Hyperlink"/>
          </w:rPr>
          <w:t xml:space="preserve">Lok et al. 2008</w:t>
        </w:r>
      </w:hyperlink>
      <w:r>
        <w:t xml:space="preserve">,</w:t>
      </w:r>
      <w:r>
        <w:t xml:space="preserve"> </w:t>
      </w:r>
      <w:hyperlink w:anchor="ref-lok2012">
        <w:r>
          <w:rPr>
            <w:rStyle w:val="Hyperlink"/>
          </w:rPr>
          <w:t xml:space="preserve">2012</w:t>
        </w:r>
      </w:hyperlink>
      <w:r>
        <w:t xml:space="preserve">;</w:t>
      </w:r>
      <w:r>
        <w:t xml:space="preserve"> </w:t>
      </w:r>
      <w:hyperlink w:anchor="ref-kelly2018">
        <w:r>
          <w:rPr>
            <w:rStyle w:val="Hyperlink"/>
          </w:rPr>
          <w:t xml:space="preserve">Kelly, Rothenbach, and Weathers 2018</w:t>
        </w:r>
      </w:hyperlink>
      <w:r>
        <w:t xml:space="preserve">)</w:t>
      </w:r>
      <w:r>
        <w:t xml:space="preserve">. Harlequin Ducks aggregate at spawning sites in this system</w:t>
      </w:r>
      <w:r>
        <w:t xml:space="preserve"> </w:t>
      </w:r>
      <w:r>
        <w:t xml:space="preserve">(</w:t>
      </w:r>
      <w:hyperlink w:anchor="ref-rodway2003">
        <w:r>
          <w:rPr>
            <w:rStyle w:val="Hyperlink"/>
          </w:rPr>
          <w:t xml:space="preserve">Rodway et al. 2003</w:t>
        </w:r>
      </w:hyperlink>
      <w:r>
        <w:t xml:space="preserve">)</w:t>
      </w:r>
      <w:r>
        <w:t xml:space="preserve">, and Surf and White-winged Scoters alter movement and foraging during spawning</w:t>
      </w:r>
      <w:r>
        <w:t xml:space="preserve"> </w:t>
      </w:r>
      <w:r>
        <w:t xml:space="preserve">(</w:t>
      </w:r>
      <w:hyperlink w:anchor="ref-lewis2007">
        <w:r>
          <w:rPr>
            <w:rStyle w:val="Hyperlink"/>
          </w:rPr>
          <w:t xml:space="preserve">Lewis, Esler, and Boyd 2007</w:t>
        </w:r>
      </w:hyperlink>
      <w:r>
        <w:t xml:space="preserve">;</w:t>
      </w:r>
      <w:r>
        <w:t xml:space="preserve"> </w:t>
      </w:r>
      <w:hyperlink w:anchor="ref-lok2008">
        <w:r>
          <w:rPr>
            <w:rStyle w:val="Hyperlink"/>
          </w:rPr>
          <w:t xml:space="preserve">Lok et al. 2008</w:t>
        </w:r>
      </w:hyperlink>
      <w:r>
        <w:t xml:space="preserve">)</w:t>
      </w:r>
      <w:r>
        <w:t xml:space="preserve">, with Surf Scoters tracking sequential spawning areas as a marine</w:t>
      </w:r>
      <w:r>
        <w:t xml:space="preserve"> </w:t>
      </w:r>
      <w:r>
        <w:t xml:space="preserve">“</w:t>
      </w:r>
      <w:r>
        <w:t xml:space="preserve">silver wave</w:t>
      </w:r>
      <w:r>
        <w:t xml:space="preserve">”</w:t>
      </w:r>
      <w:r>
        <w:t xml:space="preserve"> </w:t>
      </w:r>
      <w:r>
        <w:t xml:space="preserve">during spring migration</w:t>
      </w:r>
      <w:r>
        <w:t xml:space="preserve"> </w:t>
      </w:r>
      <w:r>
        <w:t xml:space="preserve">(</w:t>
      </w:r>
      <w:hyperlink w:anchor="ref-lok2012">
        <w:r>
          <w:rPr>
            <w:rStyle w:val="Hyperlink"/>
          </w:rPr>
          <w:t xml:space="preserve">Lok et al. 2012</w:t>
        </w:r>
      </w:hyperlink>
      <w:r>
        <w:t xml:space="preserve">)</w:t>
      </w:r>
      <w:r>
        <w:t xml:space="preserve">. These studies identify mechanisms for particular species at particular places. They do not establish that a near-spawn association measured across a whole region and a whole community is caused by the pulse.</w:t>
      </w:r>
    </w:p>
    <w:p>
      <w:pPr>
        <w:pStyle w:val="BodyText"/>
      </w:pPr>
      <w:r>
        <w:t xml:space="preserve">That gap is what this paper addresses, and the obstacle to closing it is spring phenology. Herring spawning and northward bird migration occupy the same weeks, so comparing active dates with dates several weeks earlier can recover migration even when birds do not respond locally to herring. Two further alternatives compound the problem: near-spawn shorelines may differ persistently from other coastal sites in habitat, access, observer participation, and the probability that a checklist is submitted at all; and observers may deliberately visit conspicuous events. A design that addresses all three must compare spatial zones contemporaneously, matched to the same event-relative period, and must ask whether the difference between those zones changes through spawning relative to the difference already present before it.</w:t>
      </w:r>
    </w:p>
    <w:p>
      <w:pPr>
        <w:pStyle w:val="BodyText"/>
      </w:pPr>
      <w:r>
        <w:t xml:space="preserve">Complete eBird checklists can support that comparison. A complete checklist indicates that observers reported all species detected and identified, which allows an omitted species to contribute a nondetection under explicit taxonomic and ambiguity rules</w:t>
      </w:r>
      <w:r>
        <w:t xml:space="preserve"> </w:t>
      </w:r>
      <w:r>
        <w:t xml:space="preserve">(</w:t>
      </w:r>
      <w:hyperlink w:anchor="ref-sullivan2009">
        <w:r>
          <w:rPr>
            <w:rStyle w:val="Hyperlink"/>
          </w:rPr>
          <w:t xml:space="preserve">B. L. Sullivan et al. 2009</w:t>
        </w:r>
      </w:hyperlink>
      <w:r>
        <w:t xml:space="preserve">;</w:t>
      </w:r>
      <w:r>
        <w:t xml:space="preserve"> </w:t>
      </w:r>
      <w:hyperlink w:anchor="ref-kelling2019">
        <w:r>
          <w:rPr>
            <w:rStyle w:val="Hyperlink"/>
          </w:rPr>
          <w:t xml:space="preserve">Kelling et al. 2019</w:t>
        </w:r>
      </w:hyperlink>
      <w:r>
        <w:t xml:space="preserve">)</w:t>
      </w:r>
      <w:r>
        <w:t xml:space="preserve">. Protocol, duration, distance travelled, and party size describe measured effort, and repeated observers and generalized locations permit clustered models. eBird nonetheless remains a semi-structured observation process: participants choose when and where to go, observers vary in detection and counting, and an unquantified</w:t>
      </w:r>
      <w:r>
        <w:t xml:space="preserve"> </w:t>
      </w:r>
      <w:r>
        <w:rPr>
          <w:rStyle w:val="VerbatimChar"/>
        </w:rPr>
        <w:t xml:space="preserve">X</w:t>
      </w:r>
      <w:r>
        <w:t xml:space="preserve"> </w:t>
      </w:r>
      <w:r>
        <w:t xml:space="preserve">report indicates detection without a numeric flock size</w:t>
      </w:r>
      <w:r>
        <w:t xml:space="preserve"> </w:t>
      </w:r>
      <w:r>
        <w:t xml:space="preserve">(</w:t>
      </w:r>
      <w:hyperlink w:anchor="ref-johnston2018">
        <w:r>
          <w:rPr>
            <w:rStyle w:val="Hyperlink"/>
          </w:rPr>
          <w:t xml:space="preserve">Johnston et al. 2018</w:t>
        </w:r>
      </w:hyperlink>
      <w:r>
        <w:t xml:space="preserve">,</w:t>
      </w:r>
      <w:r>
        <w:t xml:space="preserve"> </w:t>
      </w:r>
      <w:hyperlink w:anchor="ref-johnston2021">
        <w:r>
          <w:rPr>
            <w:rStyle w:val="Hyperlink"/>
          </w:rPr>
          <w:t xml:space="preserve">2021</w:t>
        </w:r>
      </w:hyperlink>
      <w:r>
        <w:t xml:space="preserve">)</w:t>
      </w:r>
      <w:r>
        <w:t xml:space="preserve">. Because a checklist records reporting rather than presence, we model two outcomes that can move independently. Checklist detection asks whether a taxon was reported at all; conditional positive count asks how large a finite numeric report was when the taxon was detected and quantified. Keeping both prevents a larger flock from being mislabelled as a general increase in occurrence, and prevents an occurrence response from being hidden by stable flock size.</w:t>
      </w:r>
    </w:p>
    <w:p>
      <w:pPr>
        <w:pStyle w:val="BodyText"/>
      </w:pPr>
      <w:r>
        <w:t xml:space="preserve">We therefore ask:</w:t>
      </w:r>
      <w:r>
        <w:t xml:space="preserve"> </w:t>
      </w:r>
      <w:r>
        <w:rPr>
          <w:b/>
          <w:bCs/>
        </w:rPr>
        <w:t xml:space="preserve">does the difference between near-spawn and contemporaneous reference checklists become more positive at recorded spawn onset and during egg availability than the same spatial difference before spawning?</w:t>
      </w:r>
      <w:r>
        <w:t xml:space="preserve"> </w:t>
      </w:r>
      <w:r>
        <w:t xml:space="preserve">The primary active period is days 0–14, combining spawn start (0–3 d) and early egg availability (4–14 d), and the contrast is a difference-in-differences against a −28 to −15 day baseline. We made three predictions before execution. First, species with established or plausible access to herring should show positive interactions in detection, flock size, or both, but responses should not be universal. Second, positive interactions should be concentrated after recorded onset rather than throughout the pre-spawn period, if the pulse carries information beyond common migration. Third, comparator taxa without an assumed direct herring mechanism should not reproduce a coherent active-period response. As reported below, the third prediction failed.</w:t>
      </w:r>
    </w:p>
    <w:bookmarkEnd w:id="21"/>
    <w:bookmarkStart w:id="28" w:name="methods"/>
    <w:p>
      <w:pPr>
        <w:pStyle w:val="Heading1"/>
      </w:pPr>
      <w:r>
        <w:t xml:space="preserve">2. Methods</w:t>
      </w:r>
    </w:p>
    <w:bookmarkStart w:id="22" w:name="study-system-and-data-sources"/>
    <w:p>
      <w:pPr>
        <w:pStyle w:val="Heading2"/>
      </w:pPr>
      <w:r>
        <w:t xml:space="preserve">2.1 Study system and data sources</w:t>
      </w:r>
    </w:p>
    <w:p>
      <w:pPr>
        <w:pStyle w:val="FirstParagraph"/>
      </w:pPr>
      <w:r>
        <w:t xml:space="preserve">The study was restricted to the Strait of Georgia, British Columbia, Canada. This inland sea supports recurrent Pacific herring spawning along accessible and inaccessible shorelines and is used by resident, wintering, and migratory birds. Bird observations came from the eBird Basic Dataset EBD_relMay-2026, with responses restricted through 2025</w:t>
      </w:r>
      <w:r>
        <w:t xml:space="preserve"> </w:t>
      </w:r>
      <w:r>
        <w:t xml:space="preserve">(</w:t>
      </w:r>
      <w:hyperlink w:anchor="ref-ebird_ebd">
        <w:r>
          <w:rPr>
            <w:rStyle w:val="Hyperlink"/>
          </w:rPr>
          <w:t xml:space="preserve">eBird 2026</w:t>
        </w:r>
      </w:hyperlink>
      <w:r>
        <w:t xml:space="preserve">)</w:t>
      </w:r>
      <w:r>
        <w:t xml:space="preserve">. Taxa follow eBird/Clements taxonomy v2025, and taxonomic changes within the 2005–2025 window are handled by versioned concept mapping (see below). Herring exposure came from the Fisheries and Oceans Canada Pacific Herring Spawn Index Data and its documented index construction</w:t>
      </w:r>
      <w:r>
        <w:t xml:space="preserve"> </w:t>
      </w:r>
      <w:r>
        <w:t xml:space="preserve">(</w:t>
      </w:r>
      <w:hyperlink w:anchor="ref-dfo_spawn_data">
        <w:r>
          <w:rPr>
            <w:rStyle w:val="Hyperlink"/>
          </w:rPr>
          <w:t xml:space="preserve">Fisheries and Oceans Canada 2026</w:t>
        </w:r>
      </w:hyperlink>
      <w:r>
        <w:t xml:space="preserve">;</w:t>
      </w:r>
      <w:r>
        <w:t xml:space="preserve"> </w:t>
      </w:r>
      <w:hyperlink w:anchor="ref-grinnell2023">
        <w:r>
          <w:rPr>
            <w:rStyle w:val="Hyperlink"/>
          </w:rPr>
          <w:t xml:space="preserve">Grinnell et al. 2023</w:t>
        </w:r>
      </w:hyperlink>
      <w:r>
        <w:t xml:space="preserve">)</w:t>
      </w:r>
      <w:r>
        <w:t xml:space="preserve">. The spawn index is relative rather than absolute spawning biomass; missing herring components were not treated as zero, and unmonitored records were not converted to surveyed negatives. The event study used recorded source-event timing and geometry to define exposure links and did not model spawn biomass.</w:t>
      </w:r>
    </w:p>
    <w:p>
      <w:pPr>
        <w:pStyle w:val="BodyText"/>
      </w:pPr>
      <w:r>
        <w:t xml:space="preserve">The analytical population comprised 217,200 eligible complete checklists from 2005 to 2025. Eligible protocols were stationary and travelling; checklists lasted 5–300 min, travelled no more than 5 km, and represented parties of one to ten observers. These eligibility rules were inherited unchanged from an earlier pre-committed and hash-locked analysis of the same linked data [AUTHOR TO SUPPLY registration identifier or repository DOI], which used a broader active-near classification and a six-window timing model. The present analysis is an additive refinement specified after those results were reviewed, and is therefore post-result and exploratory; it returns to the same frozen checklist-to-event link table rather than replacing or relabelling the earlier estimates.</w:t>
      </w:r>
    </w:p>
    <w:bookmarkEnd w:id="22"/>
    <w:bookmarkStart w:id="23" w:name="response-semantics"/>
    <w:p>
      <w:pPr>
        <w:pStyle w:val="Heading2"/>
      </w:pPr>
      <w:r>
        <w:t xml:space="preserve">2.2 Response semantics</w:t>
      </w:r>
    </w:p>
    <w:p>
      <w:pPr>
        <w:pStyle w:val="FirstParagraph"/>
      </w:pPr>
      <w:r>
        <w:t xml:space="preserve">Detection was one when a species was reported on an eligible complete checklist and zero when it was omitted under frozen taxonomic and ambiguity rules. Every report carried an explicit count state: a finite numeric count, an unquantified</w:t>
      </w:r>
      <w:r>
        <w:t xml:space="preserve"> </w:t>
      </w:r>
      <w:r>
        <w:rPr>
          <w:rStyle w:val="VerbatimChar"/>
        </w:rPr>
        <w:t xml:space="preserve">X</w:t>
      </w:r>
      <w:r>
        <w:t xml:space="preserve">, or an ambiguity-affected record. An unquantified</w:t>
      </w:r>
      <w:r>
        <w:t xml:space="preserve"> </w:t>
      </w:r>
      <w:r>
        <w:rPr>
          <w:rStyle w:val="VerbatimChar"/>
        </w:rPr>
        <w:t xml:space="preserve">X</w:t>
      </w:r>
      <w:r>
        <w:t xml:space="preserve"> </w:t>
      </w:r>
      <w:r>
        <w:t xml:space="preserve">contributed to detection but never to numeric count. Finite numeric reports greater than zero entered the conditional count outcome. Lower-bound reports, ambiguous records, structural unknowns, and finite exact counts remained distinct, and none was silently recoded as another state. Taxonomic changes across the series, including the Mew-to-Short-billed Gull split, the Herring Gull complex split that yields American Herring Gull, and the Thayer’s-to-Iceland Gull lump, were resolved to fixed analysis concepts by versioned mapping, so a single taxon identity is tracked across the window; the frozen rules are enumerated in the Supplementary Material.</w:t>
      </w:r>
    </w:p>
    <w:p>
      <w:pPr>
        <w:pStyle w:val="BodyText"/>
      </w:pPr>
      <w:r>
        <w:t xml:space="preserve">The conditional count model used the natural logarithm of finite positive reported count, so its exponentiated contrasts are ratios of geometric mean reported flock sizes among numeric detections. This conditioning matters for interpretation: a species can have a count ratio above one without being detected on more checklists, and a rare species can have too little joint support for the count model despite sufficient detection support.</w:t>
      </w:r>
    </w:p>
    <w:bookmarkEnd w:id="23"/>
    <w:bookmarkStart w:id="24" w:name="X8344ee68c02c584fdeeb40f47648605c085b232"/>
    <w:p>
      <w:pPr>
        <w:pStyle w:val="Heading2"/>
      </w:pPr>
      <w:r>
        <w:t xml:space="preserve">2.3 Event periods, spatial zones, and concurrent links</w:t>
      </w:r>
    </w:p>
    <w:p>
      <w:pPr>
        <w:pStyle w:val="FirstParagraph"/>
      </w:pPr>
      <w:r>
        <w:t xml:space="preserve">Six fixed periods were defined relative to recorded onset: baseline (−28 to −15 d), early pre-spawn (−14 to −8 d), immediate pre-spawn (−7 to −1 d), spawn start (0–3 d), early egg (4–14 d), and late egg (15–28 d). These boundaries were fixed before execution and were tested at every endpoint. We use</w:t>
      </w:r>
      <w:r>
        <w:t xml:space="preserve"> </w:t>
      </w:r>
      <w:r>
        <w:t xml:space="preserve">“</w:t>
      </w:r>
      <w:r>
        <w:t xml:space="preserve">pre-spawn</w:t>
      </w:r>
      <w:r>
        <w:t xml:space="preserve">”</w:t>
      </w:r>
      <w:r>
        <w:t xml:space="preserve"> </w:t>
      </w:r>
      <w:r>
        <w:t xml:space="preserve">for the duration-weighted average of the two seven-day pre periods, that is days −14 to −1, and</w:t>
      </w:r>
      <w:r>
        <w:t xml:space="preserve"> </w:t>
      </w:r>
      <w:r>
        <w:t xml:space="preserve">“</w:t>
      </w:r>
      <w:r>
        <w:t xml:space="preserve">active</w:t>
      </w:r>
      <w:r>
        <w:t xml:space="preserve">”</w:t>
      </w:r>
      <w:r>
        <w:t xml:space="preserve"> </w:t>
      </w:r>
      <w:r>
        <w:t xml:space="preserve">for the duration-weighted average of spawn start and early egg. Near links were less than 5 km from a recorded source point and reference links were 5–20 km away, inclusive at 20 km. Distances refer to the checklist point representation, including the point associated with a travelling checklist, rather than to a reconstructed route or shoreline-access path. Because eligible checklists travel up to 5 km and the near radius is also 5 km, a travelling checklist near the boundary can be misclassified; in practice about 12% of near-zone checklists travelled more than 2.5 km and about 3% more than 4 km, and misclassification of this kind moves near and reference checklists toward each other, biasing the interaction toward the null rather than manufacturing one.</w:t>
      </w:r>
    </w:p>
    <w:p>
      <w:pPr>
        <w:pStyle w:val="BodyText"/>
      </w:pPr>
      <w:r>
        <w:t xml:space="preserve">A checklist could link to several herring source events at different distances and event-relative dates. Every eligible link was retained and counted in its actual period-by-zone cell, so the design contained 12 additive joint counts: six periods crossed with two zones. We did not multiply marginal time totals by marginal distance totals, because doing so invents a pairing when different events supply the two margins. Each checklist remained one model row however many events it linked to, which avoids pseudoreplication while preserving simultaneous exposure that a</w:t>
      </w:r>
      <w:r>
        <w:t xml:space="preserve"> </w:t>
      </w:r>
      <w:r>
        <w:t xml:space="preserve">“</w:t>
      </w:r>
      <w:r>
        <w:t xml:space="preserve">closest event only</w:t>
      </w:r>
      <w:r>
        <w:t xml:space="preserve">”</w:t>
      </w:r>
      <w:r>
        <w:t xml:space="preserve"> </w:t>
      </w:r>
      <w:r>
        <w:t xml:space="preserve">rule would discard. Coefficients therefore describe a change per linked recorded event within a cell, conditional on the other joint counts, rather than a mutually exclusive assignment of each checklist to one period and zone. The baseline and active windows are consequently not mutually exclusive within a checklist: 5,163 checklists (5.5% of those with any modeled exposure) contributed to both a baseline cell and an active cell through different events, so the difference-in-differences subtracts a baseline that these rows also help define. Collinearity among the twelve additive exposure counts is nonetheless negligible, with every variance inflation factor between 1.22 and 1.26.</w:t>
      </w:r>
    </w:p>
    <w:bookmarkEnd w:id="24"/>
    <w:bookmarkStart w:id="25" w:name="model-specification"/>
    <w:p>
      <w:pPr>
        <w:pStyle w:val="Heading2"/>
      </w:pPr>
      <w:r>
        <w:t xml:space="preserve">2.4 Model specification</w:t>
      </w:r>
    </w:p>
    <w:p>
      <w:pPr>
        <w:pStyle w:val="FirstParagraph"/>
      </w:pPr>
      <w:r>
        <w:t xml:space="preserve">Each core species was fitted separately for detection and for conditional positive numeric count. Detection used a binomial generalized linear mixed model with logit link, fitted by</w:t>
      </w:r>
      <w:r>
        <w:t xml:space="preserve"> </w:t>
      </w:r>
      <w:r>
        <w:rPr>
          <w:rStyle w:val="VerbatimChar"/>
        </w:rPr>
        <w:t xml:space="preserve">lme4::glmer</w:t>
      </w:r>
      <w:r>
        <w:t xml:space="preserve"> </w:t>
      </w:r>
      <w:r>
        <w:t xml:space="preserve">with</w:t>
      </w:r>
      <w:r>
        <w:t xml:space="preserve"> </w:t>
      </w:r>
      <w:r>
        <w:rPr>
          <w:rStyle w:val="VerbatimChar"/>
        </w:rPr>
        <w:t xml:space="preserve">nAGQ = 0</w:t>
      </w:r>
      <w:r>
        <w:t xml:space="preserve">; conditional log count used a Gaussian linear mixed model fitted by restricted maximum likelihood with</w:t>
      </w:r>
      <w:r>
        <w:t xml:space="preserve"> </w:t>
      </w:r>
      <w:r>
        <w:rPr>
          <w:rStyle w:val="VerbatimChar"/>
        </w:rPr>
        <w:t xml:space="preserve">lme4::lmer</w:t>
      </w:r>
      <w:r>
        <w:t xml:space="preserve"> </w:t>
      </w:r>
      <w:r>
        <w:t xml:space="preserve">(</w:t>
      </w:r>
      <w:hyperlink w:anchor="ref-bates2015">
        <w:r>
          <w:rPr>
            <w:rStyle w:val="Hyperlink"/>
          </w:rPr>
          <w:t xml:space="preserve">Bates et al. 2015</w:t>
        </w:r>
      </w:hyperlink>
      <w:r>
        <w:t xml:space="preserve">)</w:t>
      </w:r>
      <w:r>
        <w:t xml:space="preserve">. The fixed structure contained all 12 joint period-by-zone link counts, factor checklist year, protocol, log duration, log travelled distance plus one, and observer count. Random intercepts represented herring event block, observer cluster, and generalized location cluster. The species list, response definitions, time windows, spatial zones, eligibility rules, adjustment set, and random-effects structure were fixed before execution and were not selected from results. No simplified fallback was allowed: a component with insufficient joint-cell support or numerical failure remained failed, and a singular fit remained identified as such. Contrast estimates and their 95% intervals are Wald z on the link scale, using the delta-method standard error of the contrast against the fixed-effect covariance, exponentiated to the reported ratios; p-values are two-sided Wald z. The</w:t>
      </w:r>
      <w:r>
        <w:t xml:space="preserve"> </w:t>
      </w:r>
      <w:r>
        <w:rPr>
          <w:rStyle w:val="VerbatimChar"/>
        </w:rPr>
        <w:t xml:space="preserve">nAGQ = 0</w:t>
      </w:r>
      <w:r>
        <w:t xml:space="preserve"> </w:t>
      </w:r>
      <w:r>
        <w:t xml:space="preserve">setting speeds the detection fits but can approximate the fixed-effect covariance in sparse binomial models with crossed random effects; a Laplace refit is recommended as a confirmatory check where compute allows, and the species with the largest detection effects nonetheless rest on thousands of detections each (below).</w:t>
      </w:r>
    </w:p>
    <w:p>
      <w:pPr>
        <w:pStyle w:val="BodyText"/>
      </w:pPr>
      <w:r>
        <w:t xml:space="preserve">All 49 support-qualified species were fitted for both outcomes, and all 49 are reported (Table S1). Eleven species are discussed individually in the text: Surf Scoter, White-winged Scoter, Harlequin Duck, Common Merganser, Hooded Merganser, Glaucous-winged Gull, Short-billed Gull, Bald Eagle, Mallard, American Crow, and Common Raven. Each was assigned to the panel before execution in a versioned species-roles registry that records a mechanistic reason per species: direct roe-diving evidence (both scoters), roe-diving response (Harlequin Duck), roe scavenging (both gulls), active-spawn piscivory (Common Merganser), shoreline scavenging candidate (Bald Eagle, American Crow, Common Raven), weaker marine piscivory candidate (Hooded Merganser), and surface and vegetation-associated egg-use candidate (Mallard).</w:t>
      </w:r>
    </w:p>
    <w:p>
      <w:pPr>
        <w:pStyle w:val="BodyText"/>
      </w:pPr>
      <w:r>
        <w:t xml:space="preserve">This panel is not the set of largest effects, and it was not chosen from the results. Two limitations of it should be stated plainly. First, the mechanistic criteria are not applied exhaustively: other species in the family satisfy the same descriptions, so the criteria explain why each of the eleven is present but not why other qualifying taxa are absent. Second, the earlier registered analysis emphasized twelve species, of which six are carried forward here; Black Oystercatcher, Black Turnstone, Canada Goose, Common Loon, Great Blue Heron, and Red-breasted Merganser are not, and the registry records no reason for their omission. Four of those six have BH-significant active interactions in this analysis, in both directions. Because the panel excludes both the largest positive and several of the largest negative interactions in the family, the Results report those interactions explicitly and display the complete 49-species family alongside the panel. Gadwall and Northern Shoveler were fitted separately as detection-only specificity comparators. They were not called negative controls, because their migration, habitat use, observation process, or indirect ecology could covary with spawning bays.</w:t>
      </w:r>
    </w:p>
    <w:bookmarkEnd w:id="25"/>
    <w:bookmarkStart w:id="26" w:name="contrasts-and-interpretation"/>
    <w:p>
      <w:pPr>
        <w:pStyle w:val="Heading2"/>
      </w:pPr>
      <w:r>
        <w:t xml:space="preserve">2.5 Contrasts and interpretation</w:t>
      </w:r>
    </w:p>
    <w:p>
      <w:pPr>
        <w:pStyle w:val="FirstParagraph"/>
      </w:pPr>
      <w:r>
        <w:t xml:space="preserve">For period</w:t>
      </w:r>
      <w:r>
        <w:t xml:space="preserve"> </w:t>
      </w:r>
      <w:r>
        <w:rPr>
          <w:i/>
          <w:iCs/>
        </w:rPr>
        <w:t xml:space="preserve">p</w:t>
      </w:r>
      <w:r>
        <w:t xml:space="preserve">, the near/reference interaction was:</w:t>
      </w:r>
    </w:p>
    <w:p>
      <w:pPr>
        <w:pStyle w:val="BlockText"/>
      </w:pPr>
      <w:r>
        <w:t xml:space="preserve">(near at period</w:t>
      </w:r>
      <w:r>
        <w:t xml:space="preserve"> </w:t>
      </w:r>
      <w:r>
        <w:rPr>
          <w:i/>
          <w:iCs/>
        </w:rPr>
        <w:t xml:space="preserve">p</w:t>
      </w:r>
      <w:r>
        <w:t xml:space="preserve"> </w:t>
      </w:r>
      <w:r>
        <w:t xml:space="preserve">− reference at period</w:t>
      </w:r>
      <w:r>
        <w:t xml:space="preserve"> </w:t>
      </w:r>
      <w:r>
        <w:rPr>
          <w:i/>
          <w:iCs/>
        </w:rPr>
        <w:t xml:space="preserve">p</w:t>
      </w:r>
      <w:r>
        <w:t xml:space="preserve">) −</w:t>
      </w:r>
      <w:r>
        <w:t xml:space="preserve"> </w:t>
      </w:r>
      <w:r>
        <w:t xml:space="preserve">(near at baseline − reference at baseline).</w:t>
      </w:r>
    </w:p>
    <w:p>
      <w:pPr>
        <w:pStyle w:val="FirstParagraph"/>
      </w:pPr>
      <w:r>
        <w:t xml:space="preserve">For detection, exponentiation produces a ratio of near/reference odds ratios; for conditional count, a ratio of near/reference flock-size ratios. A value above one means the near/reference contrast became more positive than its baseline value, and a value below one means it became more negative. It is not the raw ratio at near sites, and it should not be described as a percent increase in population size.</w:t>
      </w:r>
    </w:p>
    <w:p>
      <w:pPr>
        <w:pStyle w:val="BodyText"/>
      </w:pPr>
      <w:r>
        <w:t xml:space="preserve">The primary active contrast covered days 0–14 and weighted the spawn-start interaction by 4/15 and the early-egg interaction by 11/15. Weighting reflected period duration and was not estimated from outcomes. The pre-spawn summary equally averaged the two seven-day pre interactions. We also report the immediate pre-spawn, spawn-start, early-egg, and late-egg contrasts separately, and the baseline near/reference difference as a descriptive quantity rather than an event response.</w:t>
      </w:r>
    </w:p>
    <w:p>
      <w:pPr>
        <w:pStyle w:val="BodyText"/>
      </w:pPr>
      <w:r>
        <w:t xml:space="preserve">This is a difference-in-differences design of the kind used to draw causal inferences from observational panels, and its assumptions are the standard ones</w:t>
      </w:r>
      <w:r>
        <w:t xml:space="preserve"> </w:t>
      </w:r>
      <w:r>
        <w:t xml:space="preserve">(</w:t>
      </w:r>
      <w:hyperlink w:anchor="ref-wing2018">
        <w:r>
          <w:rPr>
            <w:rStyle w:val="Hyperlink"/>
          </w:rPr>
          <w:t xml:space="preserve">Wing, Simon, and Bello-Gomez 2018</w:t>
        </w:r>
      </w:hyperlink>
      <w:r>
        <w:t xml:space="preserve">;</w:t>
      </w:r>
      <w:r>
        <w:t xml:space="preserve"> </w:t>
      </w:r>
      <w:hyperlink w:anchor="ref-roth2023">
        <w:r>
          <w:rPr>
            <w:rStyle w:val="Hyperlink"/>
          </w:rPr>
          <w:t xml:space="preserve">Roth et al. 2023</w:t>
        </w:r>
      </w:hyperlink>
      <w:r>
        <w:t xml:space="preserve">)</w:t>
      </w:r>
      <w:r>
        <w:t xml:space="preserve">. Applied to ecology, such quasi-experimental designs strengthen inference from observational data without delivering experimental control</w:t>
      </w:r>
      <w:r>
        <w:t xml:space="preserve"> </w:t>
      </w:r>
      <w:r>
        <w:t xml:space="preserve">(</w:t>
      </w:r>
      <w:hyperlink w:anchor="ref-butsic2017">
        <w:r>
          <w:rPr>
            <w:rStyle w:val="Hyperlink"/>
          </w:rPr>
          <w:t xml:space="preserve">Butsic et al. 2017</w:t>
        </w:r>
      </w:hyperlink>
      <w:r>
        <w:t xml:space="preserve">;</w:t>
      </w:r>
      <w:r>
        <w:t xml:space="preserve"> </w:t>
      </w:r>
      <w:hyperlink w:anchor="ref-larsen2019">
        <w:r>
          <w:rPr>
            <w:rStyle w:val="Hyperlink"/>
          </w:rPr>
          <w:t xml:space="preserve">Larsen, Meng, and Kendall 2019</w:t>
        </w:r>
      </w:hyperlink>
      <w:r>
        <w:t xml:space="preserve">)</w:t>
      </w:r>
      <w:r>
        <w:t xml:space="preserve">. Comparing spawn dates to earlier spring dates cannot separate herring from migration, because both peak together. Our contrast can, because the reference checklists are contemporaneous, matched to the same event-relative period, and because we subtract whatever near/reference difference already existed before onset. What it cannot do is control a factor that changes differently between the two zones at the same time as recorded spawning. We refer to this residual class as</w:t>
      </w:r>
      <w:r>
        <w:t xml:space="preserve"> </w:t>
      </w:r>
      <w:r>
        <w:rPr>
          <w:b/>
          <w:bCs/>
        </w:rPr>
        <w:t xml:space="preserve">zone-differential confounders</w:t>
      </w:r>
      <w:r>
        <w:t xml:space="preserve">: time-varying habitat use, access, targeted checklist submission, event-date or source-point error, shoreline geometry, weather, tide, observer behaviour, and indirect ecological responses. The design removes a common seasonal change and a stable pre-existing zone difference; it does not remove zone-differential confounders, and the interpretation returns to them once rather than restating them at each result.</w:t>
      </w:r>
    </w:p>
    <w:bookmarkEnd w:id="26"/>
    <w:bookmarkStart w:id="27" w:name="multiplicity-and-support"/>
    <w:p>
      <w:pPr>
        <w:pStyle w:val="Heading2"/>
      </w:pPr>
      <w:r>
        <w:t xml:space="preserve">2.6 Multiplicity and support</w:t>
      </w:r>
    </w:p>
    <w:p>
      <w:pPr>
        <w:pStyle w:val="FirstParagraph"/>
      </w:pPr>
      <w:r>
        <w:t xml:space="preserve">Benjamini–Hochberg (BH) adjustment was applied within each core-species outcome-by-contrast family across the 49 species</w:t>
      </w:r>
      <w:r>
        <w:t xml:space="preserve"> </w:t>
      </w:r>
      <w:r>
        <w:t xml:space="preserve">(</w:t>
      </w:r>
      <w:hyperlink w:anchor="ref-benjamini1995">
        <w:r>
          <w:rPr>
            <w:rStyle w:val="Hyperlink"/>
          </w:rPr>
          <w:t xml:space="preserve">Benjamini and Hochberg 1995</w:t>
        </w:r>
      </w:hyperlink>
      <w:r>
        <w:t xml:space="preserve">)</w:t>
      </w:r>
      <w:r>
        <w:t xml:space="preserve">. Comparator detection contrasts formed separate two-species families. We present effect sizes and 95% confidence intervals before q-values, retain all estimates regardless of sign, and do not treat a confidence interval overlapping one as evidence of no effect. Term support was evaluated for every joint period-by-zone cell, and model status, convergence, singularity, rank deficiency, sample size, and contrast availability were released in privacy-safe aggregate tables (Table S1). Released support counts below 20 checklist years were suppressed, a threshold adopted so that no released aggregate could isolate a small number of contributing observers or localities, consistent with the eBird data-use terms that restrict redistribution of identifiable records. All models were fitted, and all exponentiated estimates and BH q-values were independently recomputed, before any interpretation was written.</w:t>
      </w:r>
    </w:p>
    <w:bookmarkEnd w:id="27"/>
    <w:bookmarkEnd w:id="28"/>
    <w:bookmarkStart w:id="44" w:name="results"/>
    <w:p>
      <w:pPr>
        <w:pStyle w:val="Heading1"/>
      </w:pPr>
      <w:r>
        <w:t xml:space="preserve">3. Results</w:t>
      </w:r>
    </w:p>
    <w:bookmarkStart w:id="29" w:name="sample-support-and-model-completion"/>
    <w:p>
      <w:pPr>
        <w:pStyle w:val="Heading2"/>
      </w:pPr>
      <w:r>
        <w:t xml:space="preserve">3.1 Sample, support, and model completion</w:t>
      </w:r>
    </w:p>
    <w:p>
      <w:pPr>
        <w:pStyle w:val="FirstParagraph"/>
      </w:pPr>
      <w:r>
        <w:t xml:space="preserve">Global joint exposure support ranged from 2,992 near-zone checklists at spawn start to 28,655 reference-zone checklists in the late-egg period, and the smallest released joint-cell support among the eleven discussed species was 259 exposed model rows. Near-zone early- and immediate-pre periods were represented in fewer than 20 checklist years, so those year counts were suppressed, although checklist and event-block support remained above the privacy threshold.</w:t>
      </w:r>
    </w:p>
    <w:p>
      <w:pPr>
        <w:pStyle w:val="BodyText"/>
      </w:pPr>
      <w:r>
        <w:t xml:space="preserve">The complete family contained 100 species-response fits and 1,400 contrast rows. Ninety-five fits completed normally, one completed with a singular warning, three failed for insufficient support, and one failed numerically. Surfbird, Rhinoceros Auklet, and Glaucous Gull conditional-count models lacked sufficient joint-cell support; Glaucous Gull detection failed numerically, and its generic failure code did not preserve a more specific reason; Western Gull conditional count completed with a singular warning. No failed component was replaced by a simplified fit. All 22 models for the eleven discussed species completed without convergence failure, rank deficiency, or singularity. Detection was therefore estimable for 48 of 49 species and conditional count for 46; the 46 include the Western Gull count model, which converged with a singular random-effects warning and is retained with that flag rather than dropped.</w:t>
      </w:r>
    </w:p>
    <w:bookmarkEnd w:id="29"/>
    <w:bookmarkStart w:id="33" w:name="primary-active-period-interaction"/>
    <w:p>
      <w:pPr>
        <w:pStyle w:val="Heading2"/>
      </w:pPr>
      <w:r>
        <w:t xml:space="preserve">3.2 Primary active-period interaction</w:t>
      </w:r>
    </w:p>
    <w:p>
      <w:pPr>
        <w:pStyle w:val="FirstParagraph"/>
      </w:pPr>
      <w:r>
        <w:t xml:space="preserve">The primary 0–14 day interaction was more often expressed through conditional flock size than through checklist detection (Figure 1; Table 1). Among estimable core species, 13 of 48 detection interactions were positive at BH q &lt; 0.05 and six were negative; 19 of 46 count interactions were positive and one was negative. Most species therefore showed no positive active interaction, which is inconsistent with a community-wide increase near spawn. The positive interactions were nonetheless taxonomically broad, spanning sea ducks, diving ducks, dabbling ducks, geese, gulls, a cormorant, a grebe, and one raptor.</w:t>
      </w:r>
    </w:p>
    <w:p>
      <w:pPr>
        <w:pStyle w:val="BodyText"/>
      </w:pPr>
      <w:r>
        <w:drawing>
          <wp:inline>
            <wp:extent cx="5334000" cy="3470136"/>
            <wp:effectExtent b="0" l="0" r="0" t="0"/>
            <wp:docPr descr="" title="" id="31" name="Picture"/>
            <a:graphic>
              <a:graphicData uri="http://schemas.openxmlformats.org/drawingml/2006/picture">
                <pic:pic>
                  <pic:nvPicPr>
                    <pic:cNvPr descr="../figures_v7/Figure_1_sog_active_event_study_v7.png" id="32" name="Picture"/>
                    <pic:cNvPicPr>
                      <a:picLocks noChangeArrowheads="1" noChangeAspect="1"/>
                    </pic:cNvPicPr>
                  </pic:nvPicPr>
                  <pic:blipFill>
                    <a:blip r:embed="rId30"/>
                    <a:stretch>
                      <a:fillRect/>
                    </a:stretch>
                  </pic:blipFill>
                  <pic:spPr bwMode="auto">
                    <a:xfrm>
                      <a:off x="0" y="0"/>
                      <a:ext cx="5334000" cy="3470136"/>
                    </a:xfrm>
                    <a:prstGeom prst="rect">
                      <a:avLst/>
                    </a:prstGeom>
                    <a:noFill/>
                    <a:ln w="9525">
                      <a:noFill/>
                      <a:headEnd/>
                      <a:tailEnd/>
                    </a:ln>
                  </pic:spPr>
                </pic:pic>
              </a:graphicData>
            </a:graphic>
          </wp:inline>
        </w:drawing>
      </w:r>
    </w:p>
    <w:p>
      <w:pPr>
        <w:pStyle w:val="BodyText"/>
      </w:pPr>
      <w:r>
        <w:rPr>
          <w:b/>
          <w:bCs/>
        </w:rPr>
        <w:t xml:space="preserve">Figure 1. Primary 0–14 day near/reference interactions for the eleven species discussed in the text.</w:t>
      </w:r>
      <w:r>
        <w:t xml:space="preserve"> </w:t>
      </w:r>
      <w:r>
        <w:t xml:space="preserve">Points and 95% confidence intervals are exponentiated duration-weighted difference-in-differences. Values above one indicate that the near/reference contrast became more positive than during the −28 to −15 day baseline. Asterisks mark BH q &lt; 0.05 within the 49-species outcome-and-contrast family. Both panels share one axis range. The complete family is shown in Figure 2.</w:t>
      </w:r>
    </w:p>
    <w:p>
      <w:pPr>
        <w:pStyle w:val="BodyText"/>
      </w:pPr>
      <w:r>
        <w:rPr>
          <w:b/>
          <w:bCs/>
        </w:rPr>
        <w:t xml:space="preserve">Table 1. Primary active-period interactions for the eleven species discussed in the text.</w:t>
      </w:r>
      <w:r>
        <w:t xml:space="preserve"> </w:t>
      </w:r>
      <w:r>
        <w:t xml:space="preserve">Detection values are ratios of near/reference odds ratios; count values are ratios of conditional near/reference flock-size ratios. Values are estimate (95% CI) with BH q. These eleven species are not the largest effects in the family; see Table 2 and Figure 2.</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Species</w:t>
            </w:r>
          </w:p>
        </w:tc>
        <w:tc>
          <w:tcPr/>
          <w:p>
            <w:pPr>
              <w:pStyle w:val="Compact"/>
              <w:jc w:val="right"/>
            </w:pPr>
            <w:r>
              <w:t xml:space="preserve">Checklist detection</w:t>
            </w:r>
          </w:p>
        </w:tc>
        <w:tc>
          <w:tcPr/>
          <w:p>
            <w:pPr>
              <w:pStyle w:val="Compact"/>
              <w:jc w:val="right"/>
            </w:pPr>
            <w:r>
              <w:t xml:space="preserve">Positive flock size</w:t>
            </w:r>
          </w:p>
        </w:tc>
      </w:tr>
      <w:tr>
        <w:tc>
          <w:tcPr/>
          <w:p>
            <w:pPr>
              <w:pStyle w:val="Compact"/>
              <w:jc w:val="left"/>
            </w:pPr>
            <w:r>
              <w:t xml:space="preserve">Surf Scoter</w:t>
            </w:r>
          </w:p>
        </w:tc>
        <w:tc>
          <w:tcPr/>
          <w:p>
            <w:pPr>
              <w:pStyle w:val="Compact"/>
              <w:jc w:val="right"/>
            </w:pPr>
            <w:r>
              <w:t xml:space="preserve">0.99 (0.92–1.07), q = 0.867</w:t>
            </w:r>
          </w:p>
        </w:tc>
        <w:tc>
          <w:tcPr/>
          <w:p>
            <w:pPr>
              <w:pStyle w:val="Compact"/>
              <w:jc w:val="right"/>
            </w:pPr>
            <w:r>
              <w:t xml:space="preserve">1.25 (1.16–1.34), q = 5.37 × 10</w:t>
            </w:r>
            <w:r>
              <w:rPr>
                <w:vertAlign w:val="superscript"/>
              </w:rPr>
              <w:t xml:space="preserve">-9</w:t>
            </w:r>
          </w:p>
        </w:tc>
      </w:tr>
      <w:tr>
        <w:tc>
          <w:tcPr/>
          <w:p>
            <w:pPr>
              <w:pStyle w:val="Compact"/>
              <w:jc w:val="left"/>
            </w:pPr>
            <w:r>
              <w:t xml:space="preserve">White-winged Scoter</w:t>
            </w:r>
          </w:p>
        </w:tc>
        <w:tc>
          <w:tcPr/>
          <w:p>
            <w:pPr>
              <w:pStyle w:val="Compact"/>
              <w:jc w:val="right"/>
            </w:pPr>
            <w:r>
              <w:t xml:space="preserve">0.91 (0.82–1.01), q = 0.177</w:t>
            </w:r>
          </w:p>
        </w:tc>
        <w:tc>
          <w:tcPr/>
          <w:p>
            <w:pPr>
              <w:pStyle w:val="Compact"/>
              <w:jc w:val="right"/>
            </w:pPr>
            <w:r>
              <w:t xml:space="preserve">1.31 (1.17–1.46), q = 3.52 × 10</w:t>
            </w:r>
            <w:r>
              <w:rPr>
                <w:vertAlign w:val="superscript"/>
              </w:rPr>
              <w:t xml:space="preserve">-6</w:t>
            </w:r>
          </w:p>
        </w:tc>
      </w:tr>
      <w:tr>
        <w:tc>
          <w:tcPr/>
          <w:p>
            <w:pPr>
              <w:pStyle w:val="Compact"/>
              <w:jc w:val="left"/>
            </w:pPr>
            <w:r>
              <w:t xml:space="preserve">Harlequin Duck</w:t>
            </w:r>
          </w:p>
        </w:tc>
        <w:tc>
          <w:tcPr/>
          <w:p>
            <w:pPr>
              <w:pStyle w:val="Compact"/>
              <w:jc w:val="right"/>
            </w:pPr>
            <w:r>
              <w:t xml:space="preserve">1.09 (0.99–1.20), q = 0.163</w:t>
            </w:r>
          </w:p>
        </w:tc>
        <w:tc>
          <w:tcPr/>
          <w:p>
            <w:pPr>
              <w:pStyle w:val="Compact"/>
              <w:jc w:val="right"/>
            </w:pPr>
            <w:r>
              <w:t xml:space="preserve">1.22 (1.17–1.28), q = 3.48 × 10</w:t>
            </w:r>
            <w:r>
              <w:rPr>
                <w:vertAlign w:val="superscript"/>
              </w:rPr>
              <w:t xml:space="preserve">-16</w:t>
            </w:r>
          </w:p>
        </w:tc>
      </w:tr>
      <w:tr>
        <w:tc>
          <w:tcPr/>
          <w:p>
            <w:pPr>
              <w:pStyle w:val="Compact"/>
              <w:jc w:val="left"/>
            </w:pPr>
            <w:r>
              <w:t xml:space="preserve">Common Merganser</w:t>
            </w:r>
          </w:p>
        </w:tc>
        <w:tc>
          <w:tcPr/>
          <w:p>
            <w:pPr>
              <w:pStyle w:val="Compact"/>
              <w:jc w:val="right"/>
            </w:pPr>
            <w:r>
              <w:t xml:space="preserve">1.19 (1.12–1.26), q = 1.13 × 10</w:t>
            </w:r>
            <w:r>
              <w:rPr>
                <w:vertAlign w:val="superscript"/>
              </w:rPr>
              <w:t xml:space="preserve">-7</w:t>
            </w:r>
          </w:p>
        </w:tc>
        <w:tc>
          <w:tcPr/>
          <w:p>
            <w:pPr>
              <w:pStyle w:val="Compact"/>
              <w:jc w:val="right"/>
            </w:pPr>
            <w:r>
              <w:t xml:space="preserve">1.11 (1.07–1.15), q = 4.96 × 10</w:t>
            </w:r>
            <w:r>
              <w:rPr>
                <w:vertAlign w:val="superscript"/>
              </w:rPr>
              <w:t xml:space="preserve">-7</w:t>
            </w:r>
          </w:p>
        </w:tc>
      </w:tr>
      <w:tr>
        <w:tc>
          <w:tcPr/>
          <w:p>
            <w:pPr>
              <w:pStyle w:val="Compact"/>
              <w:jc w:val="left"/>
            </w:pPr>
            <w:r>
              <w:t xml:space="preserve">Hooded Merganser</w:t>
            </w:r>
          </w:p>
        </w:tc>
        <w:tc>
          <w:tcPr/>
          <w:p>
            <w:pPr>
              <w:pStyle w:val="Compact"/>
              <w:jc w:val="right"/>
            </w:pPr>
            <w:r>
              <w:t xml:space="preserve">0.97 (0.90–1.04), q = 0.581</w:t>
            </w:r>
          </w:p>
        </w:tc>
        <w:tc>
          <w:tcPr/>
          <w:p>
            <w:pPr>
              <w:pStyle w:val="Compact"/>
              <w:jc w:val="right"/>
            </w:pPr>
            <w:r>
              <w:t xml:space="preserve">1.01 (0.97–1.05), q = 0.731</w:t>
            </w:r>
          </w:p>
        </w:tc>
      </w:tr>
      <w:tr>
        <w:tc>
          <w:tcPr/>
          <w:p>
            <w:pPr>
              <w:pStyle w:val="Compact"/>
              <w:jc w:val="left"/>
            </w:pPr>
            <w:r>
              <w:t xml:space="preserve">Glaucous-winged Gull</w:t>
            </w:r>
          </w:p>
        </w:tc>
        <w:tc>
          <w:tcPr/>
          <w:p>
            <w:pPr>
              <w:pStyle w:val="Compact"/>
              <w:jc w:val="right"/>
            </w:pPr>
            <w:r>
              <w:t xml:space="preserve">1.12 (1.06–1.18), q = 0.00059</w:t>
            </w:r>
          </w:p>
        </w:tc>
        <w:tc>
          <w:tcPr/>
          <w:p>
            <w:pPr>
              <w:pStyle w:val="Compact"/>
              <w:jc w:val="right"/>
            </w:pPr>
            <w:r>
              <w:t xml:space="preserve">1.21 (1.18–1.25), q = 2.01 × 10</w:t>
            </w:r>
            <w:r>
              <w:rPr>
                <w:vertAlign w:val="superscript"/>
              </w:rPr>
              <w:t xml:space="preserve">-36</w:t>
            </w:r>
          </w:p>
        </w:tc>
      </w:tr>
      <w:tr>
        <w:tc>
          <w:tcPr/>
          <w:p>
            <w:pPr>
              <w:pStyle w:val="Compact"/>
              <w:jc w:val="left"/>
            </w:pPr>
            <w:r>
              <w:t xml:space="preserve">Short-billed Gull</w:t>
            </w:r>
          </w:p>
        </w:tc>
        <w:tc>
          <w:tcPr/>
          <w:p>
            <w:pPr>
              <w:pStyle w:val="Compact"/>
              <w:jc w:val="right"/>
            </w:pPr>
            <w:r>
              <w:t xml:space="preserve">1.22 (1.14–1.30), q = 1.13 × 10</w:t>
            </w:r>
            <w:r>
              <w:rPr>
                <w:vertAlign w:val="superscript"/>
              </w:rPr>
              <w:t xml:space="preserve">-7</w:t>
            </w:r>
          </w:p>
        </w:tc>
        <w:tc>
          <w:tcPr/>
          <w:p>
            <w:pPr>
              <w:pStyle w:val="Compact"/>
              <w:jc w:val="right"/>
            </w:pPr>
            <w:r>
              <w:t xml:space="preserve">1.36 (1.29–1.44), q = 1.36 × 10</w:t>
            </w:r>
            <w:r>
              <w:rPr>
                <w:vertAlign w:val="superscript"/>
              </w:rPr>
              <w:t xml:space="preserve">-25</w:t>
            </w:r>
          </w:p>
        </w:tc>
      </w:tr>
      <w:tr>
        <w:tc>
          <w:tcPr/>
          <w:p>
            <w:pPr>
              <w:pStyle w:val="Compact"/>
              <w:jc w:val="left"/>
            </w:pPr>
            <w:r>
              <w:t xml:space="preserve">Bald Eagle</w:t>
            </w:r>
          </w:p>
        </w:tc>
        <w:tc>
          <w:tcPr/>
          <w:p>
            <w:pPr>
              <w:pStyle w:val="Compact"/>
              <w:jc w:val="right"/>
            </w:pPr>
            <w:r>
              <w:t xml:space="preserve">1.08 (1.03–1.13), q = 0.00333</w:t>
            </w:r>
          </w:p>
        </w:tc>
        <w:tc>
          <w:tcPr/>
          <w:p>
            <w:pPr>
              <w:pStyle w:val="Compact"/>
              <w:jc w:val="right"/>
            </w:pPr>
            <w:r>
              <w:t xml:space="preserve">1.07 (1.05–1.08), q = 1.57 × 10</w:t>
            </w:r>
            <w:r>
              <w:rPr>
                <w:vertAlign w:val="superscript"/>
              </w:rPr>
              <w:t xml:space="preserve">-13</w:t>
            </w:r>
          </w:p>
        </w:tc>
      </w:tr>
      <w:tr>
        <w:tc>
          <w:tcPr/>
          <w:p>
            <w:pPr>
              <w:pStyle w:val="Compact"/>
              <w:jc w:val="left"/>
            </w:pPr>
            <w:r>
              <w:t xml:space="preserve">Mallard</w:t>
            </w:r>
          </w:p>
        </w:tc>
        <w:tc>
          <w:tcPr/>
          <w:p>
            <w:pPr>
              <w:pStyle w:val="Compact"/>
              <w:jc w:val="right"/>
            </w:pPr>
            <w:r>
              <w:t xml:space="preserve">1.04 (0.98–1.09), q = 0.312</w:t>
            </w:r>
          </w:p>
        </w:tc>
        <w:tc>
          <w:tcPr/>
          <w:p>
            <w:pPr>
              <w:pStyle w:val="Compact"/>
              <w:jc w:val="right"/>
            </w:pPr>
            <w:r>
              <w:t xml:space="preserve">1.11 (1.08–1.14), q = 3.69 × 10</w:t>
            </w:r>
            <w:r>
              <w:rPr>
                <w:vertAlign w:val="superscript"/>
              </w:rPr>
              <w:t xml:space="preserve">-11</w:t>
            </w:r>
          </w:p>
        </w:tc>
      </w:tr>
      <w:tr>
        <w:tc>
          <w:tcPr/>
          <w:p>
            <w:pPr>
              <w:pStyle w:val="Compact"/>
              <w:jc w:val="left"/>
            </w:pPr>
            <w:r>
              <w:t xml:space="preserve">American Crow</w:t>
            </w:r>
          </w:p>
        </w:tc>
        <w:tc>
          <w:tcPr/>
          <w:p>
            <w:pPr>
              <w:pStyle w:val="Compact"/>
              <w:jc w:val="right"/>
            </w:pPr>
            <w:r>
              <w:t xml:space="preserve">1.01 (0.96–1.06), q = 0.810</w:t>
            </w:r>
          </w:p>
        </w:tc>
        <w:tc>
          <w:tcPr/>
          <w:p>
            <w:pPr>
              <w:pStyle w:val="Compact"/>
              <w:jc w:val="right"/>
            </w:pPr>
            <w:r>
              <w:t xml:space="preserve">1.00 (0.98–1.03), q = 0.815</w:t>
            </w:r>
          </w:p>
        </w:tc>
      </w:tr>
      <w:tr>
        <w:tc>
          <w:tcPr/>
          <w:p>
            <w:pPr>
              <w:pStyle w:val="Compact"/>
              <w:jc w:val="left"/>
            </w:pPr>
            <w:r>
              <w:t xml:space="preserve">Common Raven</w:t>
            </w:r>
          </w:p>
        </w:tc>
        <w:tc>
          <w:tcPr/>
          <w:p>
            <w:pPr>
              <w:pStyle w:val="Compact"/>
              <w:jc w:val="right"/>
            </w:pPr>
            <w:r>
              <w:t xml:space="preserve">0.94 (0.90–0.98), q = 0.026</w:t>
            </w:r>
          </w:p>
        </w:tc>
        <w:tc>
          <w:tcPr/>
          <w:p>
            <w:pPr>
              <w:pStyle w:val="Compact"/>
              <w:jc w:val="right"/>
            </w:pPr>
            <w:r>
              <w:t xml:space="preserve">1.01 (1.00–1.03), q = 0.215</w:t>
            </w:r>
          </w:p>
        </w:tc>
      </w:tr>
    </w:tbl>
    <w:p>
      <w:pPr>
        <w:pStyle w:val="BodyText"/>
      </w:pPr>
      <w:r>
        <w:t xml:space="preserve">Surf Scoter, White-winged Scoter, and Harlequin Duck increased in conditional flock size without a supported detection increase. Their ratios imply that numerically reported flocks near spawn were larger relative to reference checklists than the same spatial contrast before spawn, while the fraction of checklists reporting each taxon did not change equivalently. White-winged Scoter detection was in fact below one in every post-baseline period, most strongly during the pre-spawn window (0.84), although no individual detection contrast reached BH significance. Common Merganser, Glaucous-winged Gull, Short-billed Gull, and Bald Eagle increased in both components.</w:t>
      </w:r>
    </w:p>
    <w:bookmarkEnd w:id="33"/>
    <w:bookmarkStart w:id="37" w:name="X98f5d1039d4cfc5cb729c3bda8111142fe49499"/>
    <w:p>
      <w:pPr>
        <w:pStyle w:val="Heading2"/>
      </w:pPr>
      <w:r>
        <w:t xml:space="preserve">3.3 The wider family, including the largest and the negative effects</w:t>
      </w:r>
    </w:p>
    <w:p>
      <w:pPr>
        <w:pStyle w:val="FirstParagraph"/>
      </w:pPr>
      <w:r>
        <w:t xml:space="preserve">The eleven species above were named before execution and are not the largest effects in the family (Figure 2; Table 2). The three largest active interactions belong to species not discussed individually: American Herring Gull detection 1.49 (1.29–1.71), Iceland Gull detection 1.43 (1.30–1.57), and Long-tailed Duck conditional count 1.49 (1.33–1.67). These are not thin estimates: the three rest on 1,957, 4,763, and 3,070 detections respectively, with a comparable number of positive numeric counts each. Other sea ducks with established associations with herring spawn also increased in flock size without appearing in Table 1: Common Goldeneye (1.22), Barrow’s Goldeneye (1.11), and Bufflehead and Red-breasted Merganser (1.10 each). Positive count interactions extended beyond that guild to the diving duck Greater Scaup (1.18, with detection 1.14) and to Double-crested Cormorant (1.13).</w:t>
      </w:r>
    </w:p>
    <w:p>
      <w:pPr>
        <w:pStyle w:val="BodyText"/>
      </w:pPr>
      <w:r>
        <w:t xml:space="preserve">Positive interactions also occurred in dabbling ducks and geese, whose only hypothesised link to spawn is weak surface- and vegetation-associated roe use rather than an established direct pathway, and some were among the largest in the family. Northern Pintail detection was 1.29 (1.18–1.42), exceeded only by the two large gulls above and larger than any focal species in Table 1. American Wigeon rose in both components (detection 1.14, count 1.11), and Canada Goose detection rose to 1.08 (1.02–1.14). With Mallard’s count interaction of 1.11 and the Northern Shoveler comparator result below, four of the five support-qualified dabbling ducks in this study showed a positive active interaction in at least one component; Gadwall was the only exception. This cohort is examined in the Discussion, because it bears directly on how much of the family-wide signal a trophic mechanism can carry.</w:t>
      </w:r>
    </w:p>
    <w:p>
      <w:pPr>
        <w:pStyle w:val="BodyText"/>
      </w:pPr>
      <w:r>
        <w:t xml:space="preserve">Negative interactions were correspondingly broader than the single case visible in Table 1. Six detection interactions were negative at BH q &lt; 0.05: Rhinoceros Auklet 0.71 (0.55–0.91), Western Grebe 0.74 (0.60–0.92), Ring-billed Gull 0.79 (0.69–0.90), Black-bellied Plover 0.84 (0.74–0.95), Common Loon 0.90 (0.84–0.97), and Common Raven 0.94 (0.90–0.98). The first five are larger in magnitude than most of the positive interactions reported above. Ring-billed Gull was the only species negative in both components, with a conditional count interaction of 0.83 (0.74–0.94). The positive taxa were therefore embedded in a broad distribution of positive, null, and negative estimates rather than drawn from an analysis in which coastal birds generally rose near spawn.</w:t>
      </w:r>
    </w:p>
    <w:p>
      <w:pPr>
        <w:pStyle w:val="BodyText"/>
      </w:pPr>
      <w:r>
        <w:drawing>
          <wp:inline>
            <wp:extent cx="5334000" cy="6139680"/>
            <wp:effectExtent b="0" l="0" r="0" t="0"/>
            <wp:docPr descr="" title="" id="35" name="Picture"/>
            <a:graphic>
              <a:graphicData uri="http://schemas.openxmlformats.org/drawingml/2006/picture">
                <pic:pic>
                  <pic:nvPicPr>
                    <pic:cNvPr descr="../figures_v7/Figure_2_sog_all_species_v7.png" id="36" name="Picture"/>
                    <pic:cNvPicPr>
                      <a:picLocks noChangeArrowheads="1" noChangeAspect="1"/>
                    </pic:cNvPicPr>
                  </pic:nvPicPr>
                  <pic:blipFill>
                    <a:blip r:embed="rId34"/>
                    <a:stretch>
                      <a:fillRect/>
                    </a:stretch>
                  </pic:blipFill>
                  <pic:spPr bwMode="auto">
                    <a:xfrm>
                      <a:off x="0" y="0"/>
                      <a:ext cx="5334000" cy="6139680"/>
                    </a:xfrm>
                    <a:prstGeom prst="rect">
                      <a:avLst/>
                    </a:prstGeom>
                    <a:noFill/>
                    <a:ln w="9525">
                      <a:noFill/>
                      <a:headEnd/>
                      <a:tailEnd/>
                    </a:ln>
                  </pic:spPr>
                </pic:pic>
              </a:graphicData>
            </a:graphic>
          </wp:inline>
        </w:drawing>
      </w:r>
    </w:p>
    <w:p>
      <w:pPr>
        <w:pStyle w:val="BodyText"/>
      </w:pPr>
      <w:r>
        <w:rPr>
          <w:b/>
          <w:bCs/>
        </w:rPr>
        <w:t xml:space="preserve">Figure 2. Complete 49-species active-period family.</w:t>
      </w:r>
      <w:r>
        <w:t xml:space="preserve"> </w:t>
      </w:r>
      <w:r>
        <w:t xml:space="preserve">Filled points are BH q &lt; 0.05 and open points are not. Bold species names are the eleven discussed individually in the text. Species are ordered by conditional count ratio where estimable. Absent points indicate a component with no estimable model. Both panels share one axis range.</w:t>
      </w:r>
    </w:p>
    <w:p>
      <w:pPr>
        <w:pStyle w:val="BodyText"/>
      </w:pPr>
      <w:r>
        <w:rPr>
          <w:b/>
          <w:bCs/>
        </w:rPr>
        <w:t xml:space="preserve">Table 2. All BH-significant negative active interactions, and all BH-significant positive interactions outside the eleven species of Table 1.</w:t>
      </w:r>
      <w:r>
        <w:t xml:space="preserve"> </w:t>
      </w:r>
      <w:r>
        <w:t xml:space="preserve">Values are estimate (95% CI) with BH q. The complete family is in Table S1.</w:t>
      </w:r>
    </w:p>
    <w:p>
      <w:pPr>
        <w:pStyle w:val="TableCaption"/>
      </w:pPr>
      <w:r>
        <w:t xml:space="preserve">Common Raven’s negative active detection interaction (0.94, in Table 1) is the sixth negative detection result and is not repeated here.</w:t>
      </w:r>
    </w:p>
    <w:tbl>
      <w:tblPr>
        <w:tblStyle w:val="Table"/>
        <w:tblW w:type="pct" w:w="5000"/>
        <w:tblLayout w:type="fixed"/>
        <w:tblLook w:firstRow="1" w:lastRow="0" w:firstColumn="0" w:lastColumn="0" w:noHBand="0" w:noVBand="0" w:val="0020"/>
        <w:tblCaption w:val="Common Raven’s negative active detection interaction (0.94, in Table 1) is the sixth negative detection result and is not repeated here."/>
      </w:tblPr>
      <w:tblGrid>
        <w:gridCol w:w="1397"/>
        <w:gridCol w:w="1397"/>
        <w:gridCol w:w="1397"/>
        <w:gridCol w:w="1863"/>
        <w:gridCol w:w="1863"/>
      </w:tblGrid>
      <w:tr>
        <w:trPr>
          <w:tblHeader w:val="on"/>
        </w:trPr>
        <w:tc>
          <w:tcPr/>
          <w:p>
            <w:pPr>
              <w:pStyle w:val="Compact"/>
              <w:jc w:val="left"/>
            </w:pPr>
            <w:r>
              <w:t xml:space="preserve">Species</w:t>
            </w:r>
          </w:p>
        </w:tc>
        <w:tc>
          <w:tcPr/>
          <w:p>
            <w:pPr>
              <w:pStyle w:val="Compact"/>
              <w:jc w:val="left"/>
            </w:pPr>
            <w:r>
              <w:t xml:space="preserve">Outcome</w:t>
            </w:r>
          </w:p>
        </w:tc>
        <w:tc>
          <w:tcPr/>
          <w:p>
            <w:pPr>
              <w:pStyle w:val="Compact"/>
              <w:jc w:val="left"/>
            </w:pPr>
            <w:r>
              <w:t xml:space="preserve">Direction</w:t>
            </w:r>
          </w:p>
        </w:tc>
        <w:tc>
          <w:tcPr/>
          <w:p>
            <w:pPr>
              <w:pStyle w:val="Compact"/>
              <w:jc w:val="right"/>
            </w:pPr>
            <w:r>
              <w:t xml:space="preserve">Active 0–14 d ratio (95% CI)</w:t>
            </w:r>
          </w:p>
        </w:tc>
        <w:tc>
          <w:tcPr/>
          <w:p>
            <w:pPr>
              <w:pStyle w:val="Compact"/>
              <w:jc w:val="right"/>
            </w:pPr>
            <w:r>
              <w:t xml:space="preserve">BH q</w:t>
            </w:r>
          </w:p>
        </w:tc>
      </w:tr>
      <w:tr>
        <w:tc>
          <w:tcPr/>
          <w:p>
            <w:pPr>
              <w:pStyle w:val="Compact"/>
              <w:jc w:val="left"/>
            </w:pPr>
            <w:r>
              <w:t xml:space="preserve">American Herring Gull</w:t>
            </w:r>
          </w:p>
        </w:tc>
        <w:tc>
          <w:tcPr/>
          <w:p>
            <w:pPr>
              <w:pStyle w:val="Compact"/>
              <w:jc w:val="left"/>
            </w:pPr>
            <w:r>
              <w:t xml:space="preserve">Detection</w:t>
            </w:r>
          </w:p>
        </w:tc>
        <w:tc>
          <w:tcPr/>
          <w:p>
            <w:pPr>
              <w:pStyle w:val="Compact"/>
              <w:jc w:val="left"/>
            </w:pPr>
            <w:r>
              <w:t xml:space="preserve">positive</w:t>
            </w:r>
          </w:p>
        </w:tc>
        <w:tc>
          <w:tcPr/>
          <w:p>
            <w:pPr>
              <w:pStyle w:val="Compact"/>
              <w:jc w:val="right"/>
            </w:pPr>
            <w:r>
              <w:t xml:space="preserve">1.49 (1.29–1.71)</w:t>
            </w:r>
          </w:p>
        </w:tc>
        <w:tc>
          <w:tcPr/>
          <w:p>
            <w:pPr>
              <w:pStyle w:val="Compact"/>
              <w:jc w:val="right"/>
            </w:pPr>
            <w:r>
              <w:t xml:space="preserve">7.32 × 10</w:t>
            </w:r>
            <w:r>
              <w:rPr>
                <w:vertAlign w:val="superscript"/>
              </w:rPr>
              <w:t xml:space="preserve">-7</w:t>
            </w:r>
          </w:p>
        </w:tc>
      </w:tr>
      <w:tr>
        <w:tc>
          <w:tcPr/>
          <w:p>
            <w:pPr>
              <w:pStyle w:val="Compact"/>
              <w:jc w:val="left"/>
            </w:pPr>
            <w:r>
              <w:t xml:space="preserve">Iceland Gull</w:t>
            </w:r>
          </w:p>
        </w:tc>
        <w:tc>
          <w:tcPr/>
          <w:p>
            <w:pPr>
              <w:pStyle w:val="Compact"/>
              <w:jc w:val="left"/>
            </w:pPr>
            <w:r>
              <w:t xml:space="preserve">Detection</w:t>
            </w:r>
          </w:p>
        </w:tc>
        <w:tc>
          <w:tcPr/>
          <w:p>
            <w:pPr>
              <w:pStyle w:val="Compact"/>
              <w:jc w:val="left"/>
            </w:pPr>
            <w:r>
              <w:t xml:space="preserve">positive</w:t>
            </w:r>
          </w:p>
        </w:tc>
        <w:tc>
          <w:tcPr/>
          <w:p>
            <w:pPr>
              <w:pStyle w:val="Compact"/>
              <w:jc w:val="right"/>
            </w:pPr>
            <w:r>
              <w:t xml:space="preserve">1.43 (1.30–1.57)</w:t>
            </w:r>
          </w:p>
        </w:tc>
        <w:tc>
          <w:tcPr/>
          <w:p>
            <w:pPr>
              <w:pStyle w:val="Compact"/>
              <w:jc w:val="right"/>
            </w:pPr>
            <w:r>
              <w:t xml:space="preserve">2.43 × 10</w:t>
            </w:r>
            <w:r>
              <w:rPr>
                <w:vertAlign w:val="superscript"/>
              </w:rPr>
              <w:t xml:space="preserve">-12</w:t>
            </w:r>
          </w:p>
        </w:tc>
      </w:tr>
      <w:tr>
        <w:tc>
          <w:tcPr/>
          <w:p>
            <w:pPr>
              <w:pStyle w:val="Compact"/>
              <w:jc w:val="left"/>
            </w:pPr>
            <w:r>
              <w:t xml:space="preserve">Northern Pintail</w:t>
            </w:r>
          </w:p>
        </w:tc>
        <w:tc>
          <w:tcPr/>
          <w:p>
            <w:pPr>
              <w:pStyle w:val="Compact"/>
              <w:jc w:val="left"/>
            </w:pPr>
            <w:r>
              <w:t xml:space="preserve">Detection</w:t>
            </w:r>
          </w:p>
        </w:tc>
        <w:tc>
          <w:tcPr/>
          <w:p>
            <w:pPr>
              <w:pStyle w:val="Compact"/>
              <w:jc w:val="left"/>
            </w:pPr>
            <w:r>
              <w:t xml:space="preserve">positive</w:t>
            </w:r>
          </w:p>
        </w:tc>
        <w:tc>
          <w:tcPr/>
          <w:p>
            <w:pPr>
              <w:pStyle w:val="Compact"/>
              <w:jc w:val="right"/>
            </w:pPr>
            <w:r>
              <w:t xml:space="preserve">1.29 (1.18–1.42)</w:t>
            </w:r>
          </w:p>
        </w:tc>
        <w:tc>
          <w:tcPr/>
          <w:p>
            <w:pPr>
              <w:pStyle w:val="Compact"/>
              <w:jc w:val="right"/>
            </w:pPr>
            <w:r>
              <w:t xml:space="preserve">7.32 × 10</w:t>
            </w:r>
            <w:r>
              <w:rPr>
                <w:vertAlign w:val="superscript"/>
              </w:rPr>
              <w:t xml:space="preserve">-7</w:t>
            </w:r>
          </w:p>
        </w:tc>
      </w:tr>
      <w:tr>
        <w:tc>
          <w:tcPr/>
          <w:p>
            <w:pPr>
              <w:pStyle w:val="Compact"/>
              <w:jc w:val="left"/>
            </w:pPr>
            <w:r>
              <w:t xml:space="preserve">Lesser Scaup</w:t>
            </w:r>
          </w:p>
        </w:tc>
        <w:tc>
          <w:tcPr/>
          <w:p>
            <w:pPr>
              <w:pStyle w:val="Compact"/>
              <w:jc w:val="left"/>
            </w:pPr>
            <w:r>
              <w:t xml:space="preserve">Detection</w:t>
            </w:r>
          </w:p>
        </w:tc>
        <w:tc>
          <w:tcPr/>
          <w:p>
            <w:pPr>
              <w:pStyle w:val="Compact"/>
              <w:jc w:val="left"/>
            </w:pPr>
            <w:r>
              <w:t xml:space="preserve">positive</w:t>
            </w:r>
          </w:p>
        </w:tc>
        <w:tc>
          <w:tcPr/>
          <w:p>
            <w:pPr>
              <w:pStyle w:val="Compact"/>
              <w:jc w:val="right"/>
            </w:pPr>
            <w:r>
              <w:t xml:space="preserve">1.24 (1.10–1.40)</w:t>
            </w:r>
          </w:p>
        </w:tc>
        <w:tc>
          <w:tcPr/>
          <w:p>
            <w:pPr>
              <w:pStyle w:val="Compact"/>
              <w:jc w:val="right"/>
            </w:pPr>
            <w:r>
              <w:t xml:space="preserve">0.003</w:t>
            </w:r>
          </w:p>
        </w:tc>
      </w:tr>
      <w:tr>
        <w:tc>
          <w:tcPr/>
          <w:p>
            <w:pPr>
              <w:pStyle w:val="Compact"/>
              <w:jc w:val="left"/>
            </w:pPr>
            <w:r>
              <w:t xml:space="preserve">California Gull</w:t>
            </w:r>
          </w:p>
        </w:tc>
        <w:tc>
          <w:tcPr/>
          <w:p>
            <w:pPr>
              <w:pStyle w:val="Compact"/>
              <w:jc w:val="left"/>
            </w:pPr>
            <w:r>
              <w:t xml:space="preserve">Detection</w:t>
            </w:r>
          </w:p>
        </w:tc>
        <w:tc>
          <w:tcPr/>
          <w:p>
            <w:pPr>
              <w:pStyle w:val="Compact"/>
              <w:jc w:val="left"/>
            </w:pPr>
            <w:r>
              <w:t xml:space="preserve">positive</w:t>
            </w:r>
          </w:p>
        </w:tc>
        <w:tc>
          <w:tcPr/>
          <w:p>
            <w:pPr>
              <w:pStyle w:val="Compact"/>
              <w:jc w:val="right"/>
            </w:pPr>
            <w:r>
              <w:t xml:space="preserve">1.22 (1.11–1.33)</w:t>
            </w:r>
          </w:p>
        </w:tc>
        <w:tc>
          <w:tcPr/>
          <w:p>
            <w:pPr>
              <w:pStyle w:val="Compact"/>
              <w:jc w:val="right"/>
            </w:pPr>
            <w:r>
              <w:t xml:space="preserve">1.38 × 10</w:t>
            </w:r>
            <w:r>
              <w:rPr>
                <w:vertAlign w:val="superscript"/>
              </w:rPr>
              <w:t xml:space="preserve">-4</w:t>
            </w:r>
          </w:p>
        </w:tc>
      </w:tr>
      <w:tr>
        <w:tc>
          <w:tcPr/>
          <w:p>
            <w:pPr>
              <w:pStyle w:val="Compact"/>
              <w:jc w:val="left"/>
            </w:pPr>
            <w:r>
              <w:t xml:space="preserve">American Wigeon</w:t>
            </w:r>
          </w:p>
        </w:tc>
        <w:tc>
          <w:tcPr/>
          <w:p>
            <w:pPr>
              <w:pStyle w:val="Compact"/>
              <w:jc w:val="left"/>
            </w:pPr>
            <w:r>
              <w:t xml:space="preserve">Detection</w:t>
            </w:r>
          </w:p>
        </w:tc>
        <w:tc>
          <w:tcPr/>
          <w:p>
            <w:pPr>
              <w:pStyle w:val="Compact"/>
              <w:jc w:val="left"/>
            </w:pPr>
            <w:r>
              <w:t xml:space="preserve">positive</w:t>
            </w:r>
          </w:p>
        </w:tc>
        <w:tc>
          <w:tcPr/>
          <w:p>
            <w:pPr>
              <w:pStyle w:val="Compact"/>
              <w:jc w:val="right"/>
            </w:pPr>
            <w:r>
              <w:t xml:space="preserve">1.14 (1.07–1.21)</w:t>
            </w:r>
          </w:p>
        </w:tc>
        <w:tc>
          <w:tcPr/>
          <w:p>
            <w:pPr>
              <w:pStyle w:val="Compact"/>
              <w:jc w:val="right"/>
            </w:pPr>
            <w:r>
              <w:t xml:space="preserve">1.38 × 10</w:t>
            </w:r>
            <w:r>
              <w:rPr>
                <w:vertAlign w:val="superscript"/>
              </w:rPr>
              <w:t xml:space="preserve">-4</w:t>
            </w:r>
          </w:p>
        </w:tc>
      </w:tr>
      <w:tr>
        <w:tc>
          <w:tcPr/>
          <w:p>
            <w:pPr>
              <w:pStyle w:val="Compact"/>
              <w:jc w:val="left"/>
            </w:pPr>
            <w:r>
              <w:t xml:space="preserve">Greater Scaup</w:t>
            </w:r>
          </w:p>
        </w:tc>
        <w:tc>
          <w:tcPr/>
          <w:p>
            <w:pPr>
              <w:pStyle w:val="Compact"/>
              <w:jc w:val="left"/>
            </w:pPr>
            <w:r>
              <w:t xml:space="preserve">Detection</w:t>
            </w:r>
          </w:p>
        </w:tc>
        <w:tc>
          <w:tcPr/>
          <w:p>
            <w:pPr>
              <w:pStyle w:val="Compact"/>
              <w:jc w:val="left"/>
            </w:pPr>
            <w:r>
              <w:t xml:space="preserve">positive</w:t>
            </w:r>
          </w:p>
        </w:tc>
        <w:tc>
          <w:tcPr/>
          <w:p>
            <w:pPr>
              <w:pStyle w:val="Compact"/>
              <w:jc w:val="right"/>
            </w:pPr>
            <w:r>
              <w:t xml:space="preserve">1.14 (1.03–1.26)</w:t>
            </w:r>
          </w:p>
        </w:tc>
        <w:tc>
          <w:tcPr/>
          <w:p>
            <w:pPr>
              <w:pStyle w:val="Compact"/>
              <w:jc w:val="right"/>
            </w:pPr>
            <w:r>
              <w:t xml:space="preserve">0.026</w:t>
            </w:r>
          </w:p>
        </w:tc>
      </w:tr>
      <w:tr>
        <w:tc>
          <w:tcPr/>
          <w:p>
            <w:pPr>
              <w:pStyle w:val="Compact"/>
              <w:jc w:val="left"/>
            </w:pPr>
            <w:r>
              <w:t xml:space="preserve">Red-necked Grebe</w:t>
            </w:r>
          </w:p>
        </w:tc>
        <w:tc>
          <w:tcPr/>
          <w:p>
            <w:pPr>
              <w:pStyle w:val="Compact"/>
              <w:jc w:val="left"/>
            </w:pPr>
            <w:r>
              <w:t xml:space="preserve">Detection</w:t>
            </w:r>
          </w:p>
        </w:tc>
        <w:tc>
          <w:tcPr/>
          <w:p>
            <w:pPr>
              <w:pStyle w:val="Compact"/>
              <w:jc w:val="left"/>
            </w:pPr>
            <w:r>
              <w:t xml:space="preserve">positive</w:t>
            </w:r>
          </w:p>
        </w:tc>
        <w:tc>
          <w:tcPr/>
          <w:p>
            <w:pPr>
              <w:pStyle w:val="Compact"/>
              <w:jc w:val="right"/>
            </w:pPr>
            <w:r>
              <w:t xml:space="preserve">1.12 (1.02–1.23)</w:t>
            </w:r>
          </w:p>
        </w:tc>
        <w:tc>
          <w:tcPr/>
          <w:p>
            <w:pPr>
              <w:pStyle w:val="Compact"/>
              <w:jc w:val="right"/>
            </w:pPr>
            <w:r>
              <w:t xml:space="preserve">0.032</w:t>
            </w:r>
          </w:p>
        </w:tc>
      </w:tr>
      <w:tr>
        <w:tc>
          <w:tcPr/>
          <w:p>
            <w:pPr>
              <w:pStyle w:val="Compact"/>
              <w:jc w:val="left"/>
            </w:pPr>
            <w:r>
              <w:t xml:space="preserve">Canada Goose</w:t>
            </w:r>
          </w:p>
        </w:tc>
        <w:tc>
          <w:tcPr/>
          <w:p>
            <w:pPr>
              <w:pStyle w:val="Compact"/>
              <w:jc w:val="left"/>
            </w:pPr>
            <w:r>
              <w:t xml:space="preserve">Detection</w:t>
            </w:r>
          </w:p>
        </w:tc>
        <w:tc>
          <w:tcPr/>
          <w:p>
            <w:pPr>
              <w:pStyle w:val="Compact"/>
              <w:jc w:val="left"/>
            </w:pPr>
            <w:r>
              <w:t xml:space="preserve">positive</w:t>
            </w:r>
          </w:p>
        </w:tc>
        <w:tc>
          <w:tcPr/>
          <w:p>
            <w:pPr>
              <w:pStyle w:val="Compact"/>
              <w:jc w:val="right"/>
            </w:pPr>
            <w:r>
              <w:t xml:space="preserve">1.08 (1.02–1.14)</w:t>
            </w:r>
          </w:p>
        </w:tc>
        <w:tc>
          <w:tcPr/>
          <w:p>
            <w:pPr>
              <w:pStyle w:val="Compact"/>
              <w:jc w:val="right"/>
            </w:pPr>
            <w:r>
              <w:t xml:space="preserve">0.021</w:t>
            </w:r>
          </w:p>
        </w:tc>
      </w:tr>
      <w:tr>
        <w:tc>
          <w:tcPr/>
          <w:p>
            <w:pPr>
              <w:pStyle w:val="Compact"/>
              <w:jc w:val="left"/>
            </w:pPr>
            <w:r>
              <w:t xml:space="preserve">Common Loon</w:t>
            </w:r>
          </w:p>
        </w:tc>
        <w:tc>
          <w:tcPr/>
          <w:p>
            <w:pPr>
              <w:pStyle w:val="Compact"/>
              <w:jc w:val="left"/>
            </w:pPr>
            <w:r>
              <w:t xml:space="preserve">Detection</w:t>
            </w:r>
          </w:p>
        </w:tc>
        <w:tc>
          <w:tcPr/>
          <w:p>
            <w:pPr>
              <w:pStyle w:val="Compact"/>
              <w:jc w:val="left"/>
            </w:pPr>
            <w:r>
              <w:t xml:space="preserve">negative</w:t>
            </w:r>
          </w:p>
        </w:tc>
        <w:tc>
          <w:tcPr/>
          <w:p>
            <w:pPr>
              <w:pStyle w:val="Compact"/>
              <w:jc w:val="right"/>
            </w:pPr>
            <w:r>
              <w:t xml:space="preserve">0.90 (0.84–0.97)</w:t>
            </w:r>
          </w:p>
        </w:tc>
        <w:tc>
          <w:tcPr/>
          <w:p>
            <w:pPr>
              <w:pStyle w:val="Compact"/>
              <w:jc w:val="right"/>
            </w:pPr>
            <w:r>
              <w:t xml:space="preserve">0.022</w:t>
            </w:r>
          </w:p>
        </w:tc>
      </w:tr>
      <w:tr>
        <w:tc>
          <w:tcPr/>
          <w:p>
            <w:pPr>
              <w:pStyle w:val="Compact"/>
              <w:jc w:val="left"/>
            </w:pPr>
            <w:r>
              <w:t xml:space="preserve">Black-bellied Plover</w:t>
            </w:r>
          </w:p>
        </w:tc>
        <w:tc>
          <w:tcPr/>
          <w:p>
            <w:pPr>
              <w:pStyle w:val="Compact"/>
              <w:jc w:val="left"/>
            </w:pPr>
            <w:r>
              <w:t xml:space="preserve">Detection</w:t>
            </w:r>
          </w:p>
        </w:tc>
        <w:tc>
          <w:tcPr/>
          <w:p>
            <w:pPr>
              <w:pStyle w:val="Compact"/>
              <w:jc w:val="left"/>
            </w:pPr>
            <w:r>
              <w:t xml:space="preserve">negative</w:t>
            </w:r>
          </w:p>
        </w:tc>
        <w:tc>
          <w:tcPr/>
          <w:p>
            <w:pPr>
              <w:pStyle w:val="Compact"/>
              <w:jc w:val="right"/>
            </w:pPr>
            <w:r>
              <w:t xml:space="preserve">0.84 (0.74–0.95)</w:t>
            </w:r>
          </w:p>
        </w:tc>
        <w:tc>
          <w:tcPr/>
          <w:p>
            <w:pPr>
              <w:pStyle w:val="Compact"/>
              <w:jc w:val="right"/>
            </w:pPr>
            <w:r>
              <w:t xml:space="preserve">0.023</w:t>
            </w:r>
          </w:p>
        </w:tc>
      </w:tr>
      <w:tr>
        <w:tc>
          <w:tcPr/>
          <w:p>
            <w:pPr>
              <w:pStyle w:val="Compact"/>
              <w:jc w:val="left"/>
            </w:pPr>
            <w:r>
              <w:t xml:space="preserve">Ring-billed Gull</w:t>
            </w:r>
          </w:p>
        </w:tc>
        <w:tc>
          <w:tcPr/>
          <w:p>
            <w:pPr>
              <w:pStyle w:val="Compact"/>
              <w:jc w:val="left"/>
            </w:pPr>
            <w:r>
              <w:t xml:space="preserve">Detection</w:t>
            </w:r>
          </w:p>
        </w:tc>
        <w:tc>
          <w:tcPr/>
          <w:p>
            <w:pPr>
              <w:pStyle w:val="Compact"/>
              <w:jc w:val="left"/>
            </w:pPr>
            <w:r>
              <w:t xml:space="preserve">negative</w:t>
            </w:r>
          </w:p>
        </w:tc>
        <w:tc>
          <w:tcPr/>
          <w:p>
            <w:pPr>
              <w:pStyle w:val="Compact"/>
              <w:jc w:val="right"/>
            </w:pPr>
            <w:r>
              <w:t xml:space="preserve">0.79 (0.69–0.90)</w:t>
            </w:r>
          </w:p>
        </w:tc>
        <w:tc>
          <w:tcPr/>
          <w:p>
            <w:pPr>
              <w:pStyle w:val="Compact"/>
              <w:jc w:val="right"/>
            </w:pPr>
            <w:r>
              <w:t xml:space="preserve">0.002</w:t>
            </w:r>
          </w:p>
        </w:tc>
      </w:tr>
      <w:tr>
        <w:tc>
          <w:tcPr/>
          <w:p>
            <w:pPr>
              <w:pStyle w:val="Compact"/>
              <w:jc w:val="left"/>
            </w:pPr>
            <w:r>
              <w:t xml:space="preserve">Western Grebe</w:t>
            </w:r>
          </w:p>
        </w:tc>
        <w:tc>
          <w:tcPr/>
          <w:p>
            <w:pPr>
              <w:pStyle w:val="Compact"/>
              <w:jc w:val="left"/>
            </w:pPr>
            <w:r>
              <w:t xml:space="preserve">Detection</w:t>
            </w:r>
          </w:p>
        </w:tc>
        <w:tc>
          <w:tcPr/>
          <w:p>
            <w:pPr>
              <w:pStyle w:val="Compact"/>
              <w:jc w:val="left"/>
            </w:pPr>
            <w:r>
              <w:t xml:space="preserve">negative</w:t>
            </w:r>
          </w:p>
        </w:tc>
        <w:tc>
          <w:tcPr/>
          <w:p>
            <w:pPr>
              <w:pStyle w:val="Compact"/>
              <w:jc w:val="right"/>
            </w:pPr>
            <w:r>
              <w:t xml:space="preserve">0.74 (0.60–0.92)</w:t>
            </w:r>
          </w:p>
        </w:tc>
        <w:tc>
          <w:tcPr/>
          <w:p>
            <w:pPr>
              <w:pStyle w:val="Compact"/>
              <w:jc w:val="right"/>
            </w:pPr>
            <w:r>
              <w:t xml:space="preserve">0.023</w:t>
            </w:r>
          </w:p>
        </w:tc>
      </w:tr>
      <w:tr>
        <w:tc>
          <w:tcPr/>
          <w:p>
            <w:pPr>
              <w:pStyle w:val="Compact"/>
              <w:jc w:val="left"/>
            </w:pPr>
            <w:r>
              <w:t xml:space="preserve">Rhinoceros Auklet</w:t>
            </w:r>
          </w:p>
        </w:tc>
        <w:tc>
          <w:tcPr/>
          <w:p>
            <w:pPr>
              <w:pStyle w:val="Compact"/>
              <w:jc w:val="left"/>
            </w:pPr>
            <w:r>
              <w:t xml:space="preserve">Detection</w:t>
            </w:r>
          </w:p>
        </w:tc>
        <w:tc>
          <w:tcPr/>
          <w:p>
            <w:pPr>
              <w:pStyle w:val="Compact"/>
              <w:jc w:val="left"/>
            </w:pPr>
            <w:r>
              <w:t xml:space="preserve">negative</w:t>
            </w:r>
          </w:p>
        </w:tc>
        <w:tc>
          <w:tcPr/>
          <w:p>
            <w:pPr>
              <w:pStyle w:val="Compact"/>
              <w:jc w:val="right"/>
            </w:pPr>
            <w:r>
              <w:t xml:space="preserve">0.71 (0.55–0.91)</w:t>
            </w:r>
          </w:p>
        </w:tc>
        <w:tc>
          <w:tcPr/>
          <w:p>
            <w:pPr>
              <w:pStyle w:val="Compact"/>
              <w:jc w:val="right"/>
            </w:pPr>
            <w:r>
              <w:t xml:space="preserve">0.024</w:t>
            </w:r>
          </w:p>
        </w:tc>
      </w:tr>
      <w:tr>
        <w:tc>
          <w:tcPr/>
          <w:p>
            <w:pPr>
              <w:pStyle w:val="Compact"/>
              <w:jc w:val="left"/>
            </w:pPr>
            <w:r>
              <w:t xml:space="preserve">Long-tailed Duck</w:t>
            </w:r>
          </w:p>
        </w:tc>
        <w:tc>
          <w:tcPr/>
          <w:p>
            <w:pPr>
              <w:pStyle w:val="Compact"/>
              <w:jc w:val="left"/>
            </w:pPr>
            <w:r>
              <w:t xml:space="preserve">Flock size</w:t>
            </w:r>
          </w:p>
        </w:tc>
        <w:tc>
          <w:tcPr/>
          <w:p>
            <w:pPr>
              <w:pStyle w:val="Compact"/>
              <w:jc w:val="left"/>
            </w:pPr>
            <w:r>
              <w:t xml:space="preserve">positive</w:t>
            </w:r>
          </w:p>
        </w:tc>
        <w:tc>
          <w:tcPr/>
          <w:p>
            <w:pPr>
              <w:pStyle w:val="Compact"/>
              <w:jc w:val="right"/>
            </w:pPr>
            <w:r>
              <w:t xml:space="preserve">1.49 (1.33–1.67)</w:t>
            </w:r>
          </w:p>
        </w:tc>
        <w:tc>
          <w:tcPr/>
          <w:p>
            <w:pPr>
              <w:pStyle w:val="Compact"/>
              <w:jc w:val="right"/>
            </w:pPr>
            <w:r>
              <w:t xml:space="preserve">1.64 × 10</w:t>
            </w:r>
            <w:r>
              <w:rPr>
                <w:vertAlign w:val="superscript"/>
              </w:rPr>
              <w:t xml:space="preserve">-11</w:t>
            </w:r>
          </w:p>
        </w:tc>
      </w:tr>
      <w:tr>
        <w:tc>
          <w:tcPr/>
          <w:p>
            <w:pPr>
              <w:pStyle w:val="Compact"/>
              <w:jc w:val="left"/>
            </w:pPr>
            <w:r>
              <w:t xml:space="preserve">Iceland Gull</w:t>
            </w:r>
          </w:p>
        </w:tc>
        <w:tc>
          <w:tcPr/>
          <w:p>
            <w:pPr>
              <w:pStyle w:val="Compact"/>
              <w:jc w:val="left"/>
            </w:pPr>
            <w:r>
              <w:t xml:space="preserve">Flock size</w:t>
            </w:r>
          </w:p>
        </w:tc>
        <w:tc>
          <w:tcPr/>
          <w:p>
            <w:pPr>
              <w:pStyle w:val="Compact"/>
              <w:jc w:val="left"/>
            </w:pPr>
            <w:r>
              <w:t xml:space="preserve">positive</w:t>
            </w:r>
          </w:p>
        </w:tc>
        <w:tc>
          <w:tcPr/>
          <w:p>
            <w:pPr>
              <w:pStyle w:val="Compact"/>
              <w:jc w:val="right"/>
            </w:pPr>
            <w:r>
              <w:t xml:space="preserve">1.36 (1.23–1.51)</w:t>
            </w:r>
          </w:p>
        </w:tc>
        <w:tc>
          <w:tcPr/>
          <w:p>
            <w:pPr>
              <w:pStyle w:val="Compact"/>
              <w:jc w:val="right"/>
            </w:pPr>
            <w:r>
              <w:t xml:space="preserve">1.38 × 10</w:t>
            </w:r>
            <w:r>
              <w:rPr>
                <w:vertAlign w:val="superscript"/>
              </w:rPr>
              <w:t xml:space="preserve">-8</w:t>
            </w:r>
          </w:p>
        </w:tc>
      </w:tr>
      <w:tr>
        <w:tc>
          <w:tcPr/>
          <w:p>
            <w:pPr>
              <w:pStyle w:val="Compact"/>
              <w:jc w:val="left"/>
            </w:pPr>
            <w:r>
              <w:t xml:space="preserve">Common Goldeneye</w:t>
            </w:r>
          </w:p>
        </w:tc>
        <w:tc>
          <w:tcPr/>
          <w:p>
            <w:pPr>
              <w:pStyle w:val="Compact"/>
              <w:jc w:val="left"/>
            </w:pPr>
            <w:r>
              <w:t xml:space="preserve">Flock size</w:t>
            </w:r>
          </w:p>
        </w:tc>
        <w:tc>
          <w:tcPr/>
          <w:p>
            <w:pPr>
              <w:pStyle w:val="Compact"/>
              <w:jc w:val="left"/>
            </w:pPr>
            <w:r>
              <w:t xml:space="preserve">positive</w:t>
            </w:r>
          </w:p>
        </w:tc>
        <w:tc>
          <w:tcPr/>
          <w:p>
            <w:pPr>
              <w:pStyle w:val="Compact"/>
              <w:jc w:val="right"/>
            </w:pPr>
            <w:r>
              <w:t xml:space="preserve">1.22 (1.18–1.27)</w:t>
            </w:r>
          </w:p>
        </w:tc>
        <w:tc>
          <w:tcPr/>
          <w:p>
            <w:pPr>
              <w:pStyle w:val="Compact"/>
              <w:jc w:val="right"/>
            </w:pPr>
            <w:r>
              <w:t xml:space="preserve">1.71 × 10</w:t>
            </w:r>
            <w:r>
              <w:rPr>
                <w:vertAlign w:val="superscript"/>
              </w:rPr>
              <w:t xml:space="preserve">-21</w:t>
            </w:r>
          </w:p>
        </w:tc>
      </w:tr>
      <w:tr>
        <w:tc>
          <w:tcPr/>
          <w:p>
            <w:pPr>
              <w:pStyle w:val="Compact"/>
              <w:jc w:val="left"/>
            </w:pPr>
            <w:r>
              <w:t xml:space="preserve">California Gull</w:t>
            </w:r>
          </w:p>
        </w:tc>
        <w:tc>
          <w:tcPr/>
          <w:p>
            <w:pPr>
              <w:pStyle w:val="Compact"/>
              <w:jc w:val="left"/>
            </w:pPr>
            <w:r>
              <w:t xml:space="preserve">Flock size</w:t>
            </w:r>
          </w:p>
        </w:tc>
        <w:tc>
          <w:tcPr/>
          <w:p>
            <w:pPr>
              <w:pStyle w:val="Compact"/>
              <w:jc w:val="left"/>
            </w:pPr>
            <w:r>
              <w:t xml:space="preserve">positive</w:t>
            </w:r>
          </w:p>
        </w:tc>
        <w:tc>
          <w:tcPr/>
          <w:p>
            <w:pPr>
              <w:pStyle w:val="Compact"/>
              <w:jc w:val="right"/>
            </w:pPr>
            <w:r>
              <w:t xml:space="preserve">1.22 (1.12–1.34)</w:t>
            </w:r>
          </w:p>
        </w:tc>
        <w:tc>
          <w:tcPr/>
          <w:p>
            <w:pPr>
              <w:pStyle w:val="Compact"/>
              <w:jc w:val="right"/>
            </w:pPr>
            <w:r>
              <w:t xml:space="preserve">5.02 × 10</w:t>
            </w:r>
            <w:r>
              <w:rPr>
                <w:vertAlign w:val="superscript"/>
              </w:rPr>
              <w:t xml:space="preserve">-5</w:t>
            </w:r>
          </w:p>
        </w:tc>
      </w:tr>
      <w:tr>
        <w:tc>
          <w:tcPr/>
          <w:p>
            <w:pPr>
              <w:pStyle w:val="Compact"/>
              <w:jc w:val="left"/>
            </w:pPr>
            <w:r>
              <w:t xml:space="preserve">Greater Scaup</w:t>
            </w:r>
          </w:p>
        </w:tc>
        <w:tc>
          <w:tcPr/>
          <w:p>
            <w:pPr>
              <w:pStyle w:val="Compact"/>
              <w:jc w:val="left"/>
            </w:pPr>
            <w:r>
              <w:t xml:space="preserve">Flock size</w:t>
            </w:r>
          </w:p>
        </w:tc>
        <w:tc>
          <w:tcPr/>
          <w:p>
            <w:pPr>
              <w:pStyle w:val="Compact"/>
              <w:jc w:val="left"/>
            </w:pPr>
            <w:r>
              <w:t xml:space="preserve">positive</w:t>
            </w:r>
          </w:p>
        </w:tc>
        <w:tc>
          <w:tcPr/>
          <w:p>
            <w:pPr>
              <w:pStyle w:val="Compact"/>
              <w:jc w:val="right"/>
            </w:pPr>
            <w:r>
              <w:t xml:space="preserve">1.18 (1.05–1.32)</w:t>
            </w:r>
          </w:p>
        </w:tc>
        <w:tc>
          <w:tcPr/>
          <w:p>
            <w:pPr>
              <w:pStyle w:val="Compact"/>
              <w:jc w:val="right"/>
            </w:pPr>
            <w:r>
              <w:t xml:space="preserve">0.016</w:t>
            </w:r>
          </w:p>
        </w:tc>
      </w:tr>
      <w:tr>
        <w:tc>
          <w:tcPr/>
          <w:p>
            <w:pPr>
              <w:pStyle w:val="Compact"/>
              <w:jc w:val="left"/>
            </w:pPr>
            <w:r>
              <w:t xml:space="preserve">Double-crested Cormorant</w:t>
            </w:r>
          </w:p>
        </w:tc>
        <w:tc>
          <w:tcPr/>
          <w:p>
            <w:pPr>
              <w:pStyle w:val="Compact"/>
              <w:jc w:val="left"/>
            </w:pPr>
            <w:r>
              <w:t xml:space="preserve">Flock size</w:t>
            </w:r>
          </w:p>
        </w:tc>
        <w:tc>
          <w:tcPr/>
          <w:p>
            <w:pPr>
              <w:pStyle w:val="Compact"/>
              <w:jc w:val="left"/>
            </w:pPr>
            <w:r>
              <w:t xml:space="preserve">positive</w:t>
            </w:r>
          </w:p>
        </w:tc>
        <w:tc>
          <w:tcPr/>
          <w:p>
            <w:pPr>
              <w:pStyle w:val="Compact"/>
              <w:jc w:val="right"/>
            </w:pPr>
            <w:r>
              <w:t xml:space="preserve">1.13 (1.08–1.17)</w:t>
            </w:r>
          </w:p>
        </w:tc>
        <w:tc>
          <w:tcPr/>
          <w:p>
            <w:pPr>
              <w:pStyle w:val="Compact"/>
              <w:jc w:val="right"/>
            </w:pPr>
            <w:r>
              <w:t xml:space="preserve">1.28 × 10</w:t>
            </w:r>
            <w:r>
              <w:rPr>
                <w:vertAlign w:val="superscript"/>
              </w:rPr>
              <w:t xml:space="preserve">-7</w:t>
            </w:r>
          </w:p>
        </w:tc>
      </w:tr>
      <w:tr>
        <w:tc>
          <w:tcPr/>
          <w:p>
            <w:pPr>
              <w:pStyle w:val="Compact"/>
              <w:jc w:val="left"/>
            </w:pPr>
            <w:r>
              <w:t xml:space="preserve">American Wigeon</w:t>
            </w:r>
          </w:p>
        </w:tc>
        <w:tc>
          <w:tcPr/>
          <w:p>
            <w:pPr>
              <w:pStyle w:val="Compact"/>
              <w:jc w:val="left"/>
            </w:pPr>
            <w:r>
              <w:t xml:space="preserve">Flock size</w:t>
            </w:r>
          </w:p>
        </w:tc>
        <w:tc>
          <w:tcPr/>
          <w:p>
            <w:pPr>
              <w:pStyle w:val="Compact"/>
              <w:jc w:val="left"/>
            </w:pPr>
            <w:r>
              <w:t xml:space="preserve">positive</w:t>
            </w:r>
          </w:p>
        </w:tc>
        <w:tc>
          <w:tcPr/>
          <w:p>
            <w:pPr>
              <w:pStyle w:val="Compact"/>
              <w:jc w:val="right"/>
            </w:pPr>
            <w:r>
              <w:t xml:space="preserve">1.11 (1.06–1.16)</w:t>
            </w:r>
          </w:p>
        </w:tc>
        <w:tc>
          <w:tcPr/>
          <w:p>
            <w:pPr>
              <w:pStyle w:val="Compact"/>
              <w:jc w:val="right"/>
            </w:pPr>
            <w:r>
              <w:t xml:space="preserve">3.51 × 10</w:t>
            </w:r>
            <w:r>
              <w:rPr>
                <w:vertAlign w:val="superscript"/>
              </w:rPr>
              <w:t xml:space="preserve">-5</w:t>
            </w:r>
          </w:p>
        </w:tc>
      </w:tr>
      <w:tr>
        <w:tc>
          <w:tcPr/>
          <w:p>
            <w:pPr>
              <w:pStyle w:val="Compact"/>
              <w:jc w:val="left"/>
            </w:pPr>
            <w:r>
              <w:t xml:space="preserve">Barrow’s Goldeneye</w:t>
            </w:r>
          </w:p>
        </w:tc>
        <w:tc>
          <w:tcPr/>
          <w:p>
            <w:pPr>
              <w:pStyle w:val="Compact"/>
              <w:jc w:val="left"/>
            </w:pPr>
            <w:r>
              <w:t xml:space="preserve">Flock size</w:t>
            </w:r>
          </w:p>
        </w:tc>
        <w:tc>
          <w:tcPr/>
          <w:p>
            <w:pPr>
              <w:pStyle w:val="Compact"/>
              <w:jc w:val="left"/>
            </w:pPr>
            <w:r>
              <w:t xml:space="preserve">positive</w:t>
            </w:r>
          </w:p>
        </w:tc>
        <w:tc>
          <w:tcPr/>
          <w:p>
            <w:pPr>
              <w:pStyle w:val="Compact"/>
              <w:jc w:val="right"/>
            </w:pPr>
            <w:r>
              <w:t xml:space="preserve">1.11 (1.02–1.19)</w:t>
            </w:r>
          </w:p>
        </w:tc>
        <w:tc>
          <w:tcPr/>
          <w:p>
            <w:pPr>
              <w:pStyle w:val="Compact"/>
              <w:jc w:val="right"/>
            </w:pPr>
            <w:r>
              <w:t xml:space="preserve">0.021</w:t>
            </w:r>
          </w:p>
        </w:tc>
      </w:tr>
      <w:tr>
        <w:tc>
          <w:tcPr/>
          <w:p>
            <w:pPr>
              <w:pStyle w:val="Compact"/>
              <w:jc w:val="left"/>
            </w:pPr>
            <w:r>
              <w:t xml:space="preserve">Bufflehead</w:t>
            </w:r>
          </w:p>
        </w:tc>
        <w:tc>
          <w:tcPr/>
          <w:p>
            <w:pPr>
              <w:pStyle w:val="Compact"/>
              <w:jc w:val="left"/>
            </w:pPr>
            <w:r>
              <w:t xml:space="preserve">Flock size</w:t>
            </w:r>
          </w:p>
        </w:tc>
        <w:tc>
          <w:tcPr/>
          <w:p>
            <w:pPr>
              <w:pStyle w:val="Compact"/>
              <w:jc w:val="left"/>
            </w:pPr>
            <w:r>
              <w:t xml:space="preserve">positive</w:t>
            </w:r>
          </w:p>
        </w:tc>
        <w:tc>
          <w:tcPr/>
          <w:p>
            <w:pPr>
              <w:pStyle w:val="Compact"/>
              <w:jc w:val="right"/>
            </w:pPr>
            <w:r>
              <w:t xml:space="preserve">1.10 (1.07–1.13)</w:t>
            </w:r>
          </w:p>
        </w:tc>
        <w:tc>
          <w:tcPr/>
          <w:p>
            <w:pPr>
              <w:pStyle w:val="Compact"/>
              <w:jc w:val="right"/>
            </w:pPr>
            <w:r>
              <w:t xml:space="preserve">6.41 × 10</w:t>
            </w:r>
            <w:r>
              <w:rPr>
                <w:vertAlign w:val="superscript"/>
              </w:rPr>
              <w:t xml:space="preserve">-11</w:t>
            </w:r>
          </w:p>
        </w:tc>
      </w:tr>
      <w:tr>
        <w:tc>
          <w:tcPr/>
          <w:p>
            <w:pPr>
              <w:pStyle w:val="Compact"/>
              <w:jc w:val="left"/>
            </w:pPr>
            <w:r>
              <w:t xml:space="preserve">Red-breasted Merganser</w:t>
            </w:r>
          </w:p>
        </w:tc>
        <w:tc>
          <w:tcPr/>
          <w:p>
            <w:pPr>
              <w:pStyle w:val="Compact"/>
              <w:jc w:val="left"/>
            </w:pPr>
            <w:r>
              <w:t xml:space="preserve">Flock size</w:t>
            </w:r>
          </w:p>
        </w:tc>
        <w:tc>
          <w:tcPr/>
          <w:p>
            <w:pPr>
              <w:pStyle w:val="Compact"/>
              <w:jc w:val="left"/>
            </w:pPr>
            <w:r>
              <w:t xml:space="preserve">positive</w:t>
            </w:r>
          </w:p>
        </w:tc>
        <w:tc>
          <w:tcPr/>
          <w:p>
            <w:pPr>
              <w:pStyle w:val="Compact"/>
              <w:jc w:val="right"/>
            </w:pPr>
            <w:r>
              <w:t xml:space="preserve">1.10 (1.05–1.17)</w:t>
            </w:r>
          </w:p>
        </w:tc>
        <w:tc>
          <w:tcPr/>
          <w:p>
            <w:pPr>
              <w:pStyle w:val="Compact"/>
              <w:jc w:val="right"/>
            </w:pPr>
            <w:r>
              <w:t xml:space="preserve">6.94 × 10</w:t>
            </w:r>
            <w:r>
              <w:rPr>
                <w:vertAlign w:val="superscript"/>
              </w:rPr>
              <w:t xml:space="preserve">-4</w:t>
            </w:r>
          </w:p>
        </w:tc>
      </w:tr>
      <w:tr>
        <w:tc>
          <w:tcPr/>
          <w:p>
            <w:pPr>
              <w:pStyle w:val="Compact"/>
              <w:jc w:val="left"/>
            </w:pPr>
            <w:r>
              <w:t xml:space="preserve">Great Blue Heron</w:t>
            </w:r>
          </w:p>
        </w:tc>
        <w:tc>
          <w:tcPr/>
          <w:p>
            <w:pPr>
              <w:pStyle w:val="Compact"/>
              <w:jc w:val="left"/>
            </w:pPr>
            <w:r>
              <w:t xml:space="preserve">Flock size</w:t>
            </w:r>
          </w:p>
        </w:tc>
        <w:tc>
          <w:tcPr/>
          <w:p>
            <w:pPr>
              <w:pStyle w:val="Compact"/>
              <w:jc w:val="left"/>
            </w:pPr>
            <w:r>
              <w:t xml:space="preserve">positive</w:t>
            </w:r>
          </w:p>
        </w:tc>
        <w:tc>
          <w:tcPr/>
          <w:p>
            <w:pPr>
              <w:pStyle w:val="Compact"/>
              <w:jc w:val="right"/>
            </w:pPr>
            <w:r>
              <w:t xml:space="preserve">1.04 (1.01–1.07)</w:t>
            </w:r>
          </w:p>
        </w:tc>
        <w:tc>
          <w:tcPr/>
          <w:p>
            <w:pPr>
              <w:pStyle w:val="Compact"/>
              <w:jc w:val="right"/>
            </w:pPr>
            <w:r>
              <w:t xml:space="preserve">0.010</w:t>
            </w:r>
          </w:p>
        </w:tc>
      </w:tr>
      <w:tr>
        <w:tc>
          <w:tcPr/>
          <w:p>
            <w:pPr>
              <w:pStyle w:val="Compact"/>
              <w:jc w:val="left"/>
            </w:pPr>
            <w:r>
              <w:t xml:space="preserve">Ring-billed Gull</w:t>
            </w:r>
          </w:p>
        </w:tc>
        <w:tc>
          <w:tcPr/>
          <w:p>
            <w:pPr>
              <w:pStyle w:val="Compact"/>
              <w:jc w:val="left"/>
            </w:pPr>
            <w:r>
              <w:t xml:space="preserve">Flock size</w:t>
            </w:r>
          </w:p>
        </w:tc>
        <w:tc>
          <w:tcPr/>
          <w:p>
            <w:pPr>
              <w:pStyle w:val="Compact"/>
              <w:jc w:val="left"/>
            </w:pPr>
            <w:r>
              <w:t xml:space="preserve">negative</w:t>
            </w:r>
          </w:p>
        </w:tc>
        <w:tc>
          <w:tcPr/>
          <w:p>
            <w:pPr>
              <w:pStyle w:val="Compact"/>
              <w:jc w:val="right"/>
            </w:pPr>
            <w:r>
              <w:t xml:space="preserve">0.83 (0.74–0.94)</w:t>
            </w:r>
          </w:p>
        </w:tc>
        <w:tc>
          <w:tcPr/>
          <w:p>
            <w:pPr>
              <w:pStyle w:val="Compact"/>
              <w:jc w:val="right"/>
            </w:pPr>
            <w:r>
              <w:t xml:space="preserve">0.010</w:t>
            </w:r>
          </w:p>
        </w:tc>
      </w:tr>
    </w:tbl>
    <w:bookmarkEnd w:id="37"/>
    <w:bookmarkStart w:id="41" w:name="timing-relative-to-recorded-onset"/>
    <w:p>
      <w:pPr>
        <w:pStyle w:val="Heading2"/>
      </w:pPr>
      <w:r>
        <w:t xml:space="preserve">3.4 Timing relative to recorded onset</w:t>
      </w:r>
    </w:p>
    <w:p>
      <w:pPr>
        <w:pStyle w:val="FirstParagraph"/>
      </w:pPr>
      <w:r>
        <w:t xml:space="preserve">Positive interactions were concentrated after recorded onset (Figure 3). The 14-day pre-spawn summary contained no BH-positive detection result and one BH-positive count result across the core family. Restricted to the immediate pre-spawn window of days −7 to −1, the corresponding counts were zero and two. Spawn start contained ten positive and four negative detection interactions and 13 positive count interactions. Early egg contained 12 positive and two negative detection interactions and 21 positive and one negative count interaction. Late egg contained ten positive and two negative detection interactions and 13 positive count interactions.</w:t>
      </w:r>
    </w:p>
    <w:p>
      <w:pPr>
        <w:pStyle w:val="BodyText"/>
      </w:pPr>
      <w:r>
        <w:drawing>
          <wp:inline>
            <wp:extent cx="5334000" cy="3801492"/>
            <wp:effectExtent b="0" l="0" r="0" t="0"/>
            <wp:docPr descr="" title="" id="39" name="Picture"/>
            <a:graphic>
              <a:graphicData uri="http://schemas.openxmlformats.org/drawingml/2006/picture">
                <pic:pic>
                  <pic:nvPicPr>
                    <pic:cNvPr descr="../figures_v7/Figure_3_sog_event_timing_v7.png" id="40" name="Picture"/>
                    <pic:cNvPicPr>
                      <a:picLocks noChangeArrowheads="1" noChangeAspect="1"/>
                    </pic:cNvPicPr>
                  </pic:nvPicPr>
                  <pic:blipFill>
                    <a:blip r:embed="rId38"/>
                    <a:stretch>
                      <a:fillRect/>
                    </a:stretch>
                  </pic:blipFill>
                  <pic:spPr bwMode="auto">
                    <a:xfrm>
                      <a:off x="0" y="0"/>
                      <a:ext cx="5334000" cy="3801492"/>
                    </a:xfrm>
                    <a:prstGeom prst="rect">
                      <a:avLst/>
                    </a:prstGeom>
                    <a:noFill/>
                    <a:ln w="9525">
                      <a:noFill/>
                      <a:headEnd/>
                      <a:tailEnd/>
                    </a:ln>
                  </pic:spPr>
                </pic:pic>
              </a:graphicData>
            </a:graphic>
          </wp:inline>
        </w:drawing>
      </w:r>
    </w:p>
    <w:p>
      <w:pPr>
        <w:pStyle w:val="BodyText"/>
      </w:pPr>
      <w:r>
        <w:rPr>
          <w:b/>
          <w:bCs/>
        </w:rPr>
        <w:t xml:space="preserve">Figure 3. Species-specific timing of the near/reference interaction.</w:t>
      </w:r>
      <w:r>
        <w:t xml:space="preserve"> </w:t>
      </w:r>
      <w:r>
        <w:t xml:space="preserve">Cells show exponentiated difference-in-differences for the 14-day pre-spawn summary (−14 to −1 d), spawn start (0–3 d), early egg (4–14 d), and late egg (15–28 d), each relative to the −28 to −15 day baseline. Asterisks denote BH q &lt; 0.05 within the 49-species outcome-and-contrast family.</w:t>
      </w:r>
    </w:p>
    <w:p>
      <w:pPr>
        <w:pStyle w:val="BodyText"/>
      </w:pPr>
      <w:r>
        <w:t xml:space="preserve">Timing differed among taxa in ways consistent with access to adult fish or to eggs. Surf Scoter count was near null before spawn, modest at spawn start, strongest during early egg (1.33), and still positive in late egg (1.13). White-winged Scoter count was highest in early egg (1.39). Harlequin Duck count rose at spawn start (1.14), early egg (1.25), and late egg (1.10), while its detection became clearly positive only late (1.15). Common Merganser detection rose at spawn start (1.25), early egg (1.17), and late egg (1.11), with a smaller count response concentrated at onset and early egg. Glaucous-winged and Short-billed Gulls increased in both components during onset and early egg, with count responses extending later.</w:t>
      </w:r>
    </w:p>
    <w:p>
      <w:pPr>
        <w:pStyle w:val="BodyText"/>
      </w:pPr>
      <w:r>
        <w:t xml:space="preserve">The count family showed the clearer temporal progression, rising from one positive in pre-spawn to 13 at spawn start and 21 in early egg before declining to 13 in late egg; detection positives rose from zero to ten and twelve, then declined to ten. This progression is consistent with a pulse whose broadest flock-size response follows deposition, but it is a descriptive family summary rather than a formal test that early egg exceeds every other period, and the contrasts share model coefficients and data. Temporal concentration also does not mean that recorded onset matches biological availability exactly: event dates carry uncertainty, spawning can continue, eggs persist or are lost, and concurrent events contribute additively. What it does show is that the positive family-wide pattern was not already present during the 14 days before onset.</w:t>
      </w:r>
    </w:p>
    <w:bookmarkEnd w:id="41"/>
    <w:bookmarkStart w:id="42" w:name="contrasting-response-profiles"/>
    <w:p>
      <w:pPr>
        <w:pStyle w:val="Heading2"/>
      </w:pPr>
      <w:r>
        <w:t xml:space="preserve">3.5 Contrasting response profiles</w:t>
      </w:r>
    </w:p>
    <w:p>
      <w:pPr>
        <w:pStyle w:val="FirstParagraph"/>
      </w:pPr>
      <w:r>
        <w:rPr>
          <w:b/>
          <w:bCs/>
        </w:rPr>
        <w:t xml:space="preserve">Bald Eagle.</w:t>
      </w:r>
      <w:r>
        <w:t xml:space="preserve"> </w:t>
      </w:r>
      <w:r>
        <w:t xml:space="preserve">Baseline near/reference detection and count ratios were close to one (0.98 and 1.00). At spawn start the detection interaction was 1.21 (1.13–1.30; q = 2.30 × 10</w:t>
      </w:r>
      <w:r>
        <w:rPr>
          <w:vertAlign w:val="superscript"/>
        </w:rPr>
        <w:t xml:space="preserve">-6</w:t>
      </w:r>
      <w:r>
        <w:t xml:space="preserve">) and the count interaction 1.18 (1.15–1.21; q = 1.27 × 10</w:t>
      </w:r>
      <w:r>
        <w:rPr>
          <w:vertAlign w:val="superscript"/>
        </w:rPr>
        <w:t xml:space="preserve">-41</w:t>
      </w:r>
      <w:r>
        <w:t xml:space="preserve">). The early-egg count interaction remained positive but much smaller (1.03), and late-egg values were near one. The duration-weighted active interaction was positive in both components but attenuated relative to the onset peak.</w:t>
      </w:r>
    </w:p>
    <w:p>
      <w:pPr>
        <w:pStyle w:val="BodyText"/>
      </w:pPr>
      <w:r>
        <w:rPr>
          <w:b/>
          <w:bCs/>
        </w:rPr>
        <w:t xml:space="preserve">Hooded Merganser.</w:t>
      </w:r>
      <w:r>
        <w:t xml:space="preserve"> </w:t>
      </w:r>
      <w:r>
        <w:t xml:space="preserve">Detection was already higher near source events during baseline, at 1.11 (1.05–1.17; q = 0.0012). No post-baseline interaction was supported: the active detection ratio was 0.97 and the count ratio 1.01, and spawn-start, early-egg, and late-egg estimates were all near one. A spatial association with shorelines that later supported recorded spawn was therefore present before onset and did not increase through the event.</w:t>
      </w:r>
    </w:p>
    <w:p>
      <w:pPr>
        <w:pStyle w:val="BodyText"/>
      </w:pPr>
      <w:r>
        <w:rPr>
          <w:b/>
          <w:bCs/>
        </w:rPr>
        <w:t xml:space="preserve">Mallard.</w:t>
      </w:r>
      <w:r>
        <w:t xml:space="preserve"> </w:t>
      </w:r>
      <w:r>
        <w:t xml:space="preserve">Detection did not change clearly in any period. Conditional flock size increased at spawn start (1.09, 1.04–1.14; q = 0.00074), early egg (1.12, 1.08–1.16; q = 1.07 × 10</w:t>
      </w:r>
      <w:r>
        <w:rPr>
          <w:vertAlign w:val="superscript"/>
        </w:rPr>
        <w:t xml:space="preserve">-10</w:t>
      </w:r>
      <w:r>
        <w:t xml:space="preserve">), and late egg (1.15, 1.11–1.18; q = 4.00 × 10</w:t>
      </w:r>
      <w:r>
        <w:rPr>
          <w:vertAlign w:val="superscript"/>
        </w:rPr>
        <w:t xml:space="preserve">-16</w:t>
      </w:r>
      <w:r>
        <w:t xml:space="preserve">), giving an active ratio of 1.11.</w:t>
      </w:r>
    </w:p>
    <w:p>
      <w:pPr>
        <w:pStyle w:val="BodyText"/>
      </w:pPr>
      <w:r>
        <w:rPr>
          <w:b/>
          <w:bCs/>
        </w:rPr>
        <w:t xml:space="preserve">American Crow.</w:t>
      </w:r>
      <w:r>
        <w:t xml:space="preserve"> </w:t>
      </w:r>
      <w:r>
        <w:t xml:space="preserve">Both components had positive baseline near/reference differences: detection 1.06 (1.02–1.10) and count 1.06 (1.04–1.08). After those persistent differences were subtracted, the active interactions were 1.01 for detection and 1.00 for count. The late-egg detection interaction was 0.94 (0.90–0.99), with a confidence interval excluding one but a BH q of 0.069.</w:t>
      </w:r>
    </w:p>
    <w:p>
      <w:pPr>
        <w:pStyle w:val="BodyText"/>
      </w:pPr>
      <w:r>
        <w:rPr>
          <w:b/>
          <w:bCs/>
        </w:rPr>
        <w:t xml:space="preserve">Common Raven.</w:t>
      </w:r>
      <w:r>
        <w:t xml:space="preserve"> </w:t>
      </w:r>
      <w:r>
        <w:t xml:space="preserve">The baseline detection ratio was near one (0.99), although the baseline count ratio was slightly below one at 0.98 (0.96–0.99; q = 0.0064). The active detection interaction was negative at 0.94 (0.90–0.98; q = 0.026), and the early-egg detection interaction was also negative at 0.94, with a BH q of 0.058. Conditional count remained near one.</w:t>
      </w:r>
    </w:p>
    <w:p>
      <w:pPr>
        <w:pStyle w:val="BodyText"/>
      </w:pPr>
      <w:r>
        <w:t xml:space="preserve">Among these five, one showed a sharp two-component onset response, one a prolonged count-only response, two no event-associated increase once baseline spatial structure was removed, and one a negative detection interaction.</w:t>
      </w:r>
    </w:p>
    <w:bookmarkEnd w:id="42"/>
    <w:bookmarkStart w:id="43" w:name="specificity-comparators"/>
    <w:p>
      <w:pPr>
        <w:pStyle w:val="Heading2"/>
      </w:pPr>
      <w:r>
        <w:t xml:space="preserve">3.6 Specificity comparators</w:t>
      </w:r>
    </w:p>
    <w:p>
      <w:pPr>
        <w:pStyle w:val="FirstParagraph"/>
      </w:pPr>
      <w:r>
        <w:t xml:space="preserve">Gadwall had a negative baseline near/reference difference (0.88, 0.80–0.97; q = 0.024) and a null active interaction (1.03, 0.90–1.17; q = 0.704). It did not reproduce the active-period signal.</w:t>
      </w:r>
    </w:p>
    <w:p>
      <w:pPr>
        <w:pStyle w:val="BodyText"/>
      </w:pPr>
      <w:r>
        <w:t xml:space="preserve">Northern Shoveler had a near-null baseline difference (1.00, 0.90–1.11) and a positive active interaction of 1.24 (1.08–1.43; q = 0.0056). Its early-egg ratio was 1.25 (1.07–1.46; q = 0.011) and its late-egg ratio 1.27 (1.10–1.46; q = 0.0025). This taxon therefore reproduced a positive post-onset detection pattern despite lacking a strong assumed direct herring mechanism, which our third prediction did not anticipate. Full comparator results are in Table S3.</w:t>
      </w:r>
    </w:p>
    <w:bookmarkEnd w:id="43"/>
    <w:bookmarkEnd w:id="44"/>
    <w:bookmarkStart w:id="52" w:name="discussion"/>
    <w:p>
      <w:pPr>
        <w:pStyle w:val="Heading1"/>
      </w:pPr>
      <w:r>
        <w:t xml:space="preserve">4. Discussion</w:t>
      </w:r>
    </w:p>
    <w:bookmarkStart w:id="45" w:name="Xce73af2dad66445f5fac968c3f4a5b59ed0326c"/>
    <w:p>
      <w:pPr>
        <w:pStyle w:val="Heading2"/>
      </w:pPr>
      <w:r>
        <w:t xml:space="preserve">4.1 A migration-adjusted but noncausal event-linked signal</w:t>
      </w:r>
    </w:p>
    <w:p>
      <w:pPr>
        <w:pStyle w:val="FirstParagraph"/>
      </w:pPr>
      <w:r>
        <w:t xml:space="preserve">The near/reference difference increased after recorded herring-spawn onset for a nonrandom subset of coastal birds, especially in reported flock size, and positive results were uncommon in the 14 days before onset. This sequence fits local consumer aggregation around the resource pulse better than it fits a Strait-wide migration increase affecting near and reference checklists equally.</w:t>
      </w:r>
    </w:p>
    <w:p>
      <w:pPr>
        <w:pStyle w:val="BodyText"/>
      </w:pPr>
      <w:r>
        <w:t xml:space="preserve">Comparing spawn dates to earlier spring dates cannot separate herring from migration, because both peak together. Our contrast can, because the reference checklists are contemporaneous and because we subtract whatever near/reference difference already existed before onset. It is still not causal evidence. The required counterfactual is that, absent a local event-linked response, the near/reference difference would have changed as it did during the baseline window. That condition is not testable from these checklists, and it fails if habitat use, access, submission, or an indirect ecological process changes differently between zones at the same time as spawning.</w:t>
      </w:r>
    </w:p>
    <w:p>
      <w:pPr>
        <w:pStyle w:val="BodyText"/>
      </w:pPr>
      <w:r>
        <w:t xml:space="preserve">The dabbling ducks make this limitation empirical rather than rhetorical, and they do so more forcefully than the comparator design anticipated. Northern Shoveler was chosen precisely for its lack of an assumed herring mechanism, and it produced a positive active interaction after common migration and baseline zone adjustment had both been removed. It was not alone. Northern Pintail, American Wigeon, Mallard, and Canada Goose also rose, and Northern Pintail’s detection interaction of 1.29 was larger than that of any species in the discussed panel. Dabbling ducks and grazing geese are not plausible consumers of attached roe at the scale these coefficients would imply, so a substantial part of the family-wide pattern is being generated by something other than herring consumption.</w:t>
      </w:r>
    </w:p>
    <w:p>
      <w:pPr>
        <w:pStyle w:val="BodyText"/>
      </w:pPr>
      <w:r>
        <w:t xml:space="preserve">That something is not identified here, but its candidates are the same ones the design cannot rule out: sheltered bays that host spawn also host spring waterfowl concentrations, are more accessible from shore, and attract observers. Near and reference zones need not host the same mixture of migratory pathways or staging habitats, and that mixture can shift through March and April in ways a calendar-year term does not model. Our third prediction therefore failed, and the appropriate conclusion is narrower than the one we set out to test: recorded spawning added species- and component-specific information about checklist reporting and flock size beyond a common seasonal change, but the coefficients do not isolate ingestion of herring or movement caused by spawning.</w:t>
      </w:r>
    </w:p>
    <w:p>
      <w:pPr>
        <w:pStyle w:val="BodyText"/>
      </w:pPr>
      <w:r>
        <w:t xml:space="preserve">The baseline comparison functions as a diagnostic. Hooded Merganser and American Crow were already distributed differently between zones before onset and had null interactions, so a design using only near observations during spawning could have attributed those persistent patterns to the event. Bald Eagle, by contrast, had a near-null baseline and a sharp onset interaction, which makes a stable shoreline difference a weaker explanation for that species. Baseline subtraction does not solve time-varying confounding, but it changes which biological stories remain consistent with the observed sequence.</w:t>
      </w:r>
    </w:p>
    <w:bookmarkEnd w:id="45"/>
    <w:bookmarkStart w:id="46" w:name="Xc048d575330d12a5fefa8a0ba48644fd126587b"/>
    <w:p>
      <w:pPr>
        <w:pStyle w:val="Heading2"/>
      </w:pPr>
      <w:r>
        <w:t xml:space="preserve">4.2 Occurrence and flock size describe different ecological responses</w:t>
      </w:r>
    </w:p>
    <w:p>
      <w:pPr>
        <w:pStyle w:val="FirstParagraph"/>
      </w:pPr>
      <w:r>
        <w:t xml:space="preserve">Separating detection from conditional count changed the ecological story materially. Surf Scoter, White-winged Scoter, and Harlequin Duck had larger reported flocks without supported detection increases, which is consistent with individuals concentrating into larger groups at a subset of sites already used during spring, leaving the fraction of checklists reporting them comparatively stable. The positive-count subset may also differ in viewing conditions, countability, or observer composition. A detection-only analysis would have missed the aggregation pattern; a count-only analysis would have overstated how broadly it occurred.</w:t>
      </w:r>
    </w:p>
    <w:p>
      <w:pPr>
        <w:pStyle w:val="BodyText"/>
      </w:pPr>
      <w:r>
        <w:t xml:space="preserve">Common Merganser, Glaucous-winged Gull, Short-billed Gull, and Bald Eagle increased in both components, which is compatible with a larger fraction of checklists encountering the taxon and larger flocks among numeric detections. These four warrant a caution the count-only species do not. Conditional count is estimated only on checklists where the species was detected and quantified, so when detection itself responds to the exposure, the count contrast is computed on a sample whose composition changes with the exposure. Any additional checklists recruited into the near-zone positive set during spawning need not resemble the ones already there, and the resulting count ratio mixes a change in flock size with a change in which flocks were counted. For Surf Scoter, White-winged Scoter, and Harlequin Duck, where detection did not move, this concern is minor and the count interaction is closer to a clean aggregation signal. For the four two-component species it is not, and their count ratios should be read as the weaker of the two estimates rather than as corroboration of their detection results. A second and distinct selection acts through numeric quantification: the count model uses only reports given a finite number, and the fraction of detections left unquantified (an</w:t>
      </w:r>
      <w:r>
        <w:t xml:space="preserve"> </w:t>
      </w:r>
      <w:r>
        <w:rPr>
          <w:rStyle w:val="VerbatimChar"/>
        </w:rPr>
        <w:t xml:space="preserve">X</w:t>
      </w:r>
      <w:r>
        <w:t xml:space="preserve">) rose with exposure, more near than reference, for the strongest aggregators (for Iceland Gull from about a tenth of detections at baseline to nearly a fifth in the active window). Because observers most often abandon a count on the largest aggregations, the quantified subset understates the very increase it measures, so these count ratios are, if anything, conservative. Even setting this aside, conditional count is not abundance across all checklists, and one checklist may not represent one independent bird group, because individuals move and checklists sample overlapping places. Mallard showed the complementary count-only pattern over a longer interval, Hooded Merganser and American Crow showed persistent baseline differences with null interactions, and Common Raven detection declined. Together these results describe a heterogeneous community response rather than a general increase near spawn, and they show the value of retaining null and negative components in a study that begins with a conspicuous natural-history expectation.</w:t>
      </w:r>
    </w:p>
    <w:bookmarkEnd w:id="46"/>
    <w:bookmarkStart w:id="47" w:name="X443e299663d1dc5d5de9e3c6f496b50bb68cd56"/>
    <w:p>
      <w:pPr>
        <w:pStyle w:val="Heading2"/>
      </w:pPr>
      <w:r>
        <w:t xml:space="preserve">4.3 Taxon-specific interpretation, and where the guild logic breaks</w:t>
      </w:r>
    </w:p>
    <w:p>
      <w:pPr>
        <w:pStyle w:val="FirstParagraph"/>
      </w:pPr>
      <w:r>
        <w:t xml:space="preserve">The scoter results align with established natural history. Surf and White-winged Scoters consume herring roe and change movement and foraging around spawning</w:t>
      </w:r>
      <w:r>
        <w:t xml:space="preserve"> </w:t>
      </w:r>
      <w:r>
        <w:t xml:space="preserve">(</w:t>
      </w:r>
      <w:hyperlink w:anchor="ref-lewis2007">
        <w:r>
          <w:rPr>
            <w:rStyle w:val="Hyperlink"/>
          </w:rPr>
          <w:t xml:space="preserve">Lewis, Esler, and Boyd 2007</w:t>
        </w:r>
      </w:hyperlink>
      <w:r>
        <w:t xml:space="preserve">;</w:t>
      </w:r>
      <w:r>
        <w:t xml:space="preserve"> </w:t>
      </w:r>
      <w:hyperlink w:anchor="ref-lok2008">
        <w:r>
          <w:rPr>
            <w:rStyle w:val="Hyperlink"/>
          </w:rPr>
          <w:t xml:space="preserve">Lok et al. 2008</w:t>
        </w:r>
      </w:hyperlink>
      <w:r>
        <w:t xml:space="preserve">,</w:t>
      </w:r>
      <w:r>
        <w:t xml:space="preserve"> </w:t>
      </w:r>
      <w:hyperlink w:anchor="ref-lok2012">
        <w:r>
          <w:rPr>
            <w:rStyle w:val="Hyperlink"/>
          </w:rPr>
          <w:t xml:space="preserve">2012</w:t>
        </w:r>
      </w:hyperlink>
      <w:r>
        <w:t xml:space="preserve">)</w:t>
      </w:r>
      <w:r>
        <w:t xml:space="preserve">, and their strongest count interactions fell in the early-egg period, when attached eggs are plausibly available. The absence of a detection interaction suggests larger local aggregations rather than proportional expansion across sampled sites. That is compatible with tracking a sequence of concentrated resources, but the analysis does not observe individual trajectories and cannot test the silver-wave mechanism directly</w:t>
      </w:r>
      <w:r>
        <w:t xml:space="preserve"> </w:t>
      </w:r>
      <w:r>
        <w:t xml:space="preserve">(</w:t>
      </w:r>
      <w:hyperlink w:anchor="ref-lok2012">
        <w:r>
          <w:rPr>
            <w:rStyle w:val="Hyperlink"/>
          </w:rPr>
          <w:t xml:space="preserve">Lok et al. 2012</w:t>
        </w:r>
      </w:hyperlink>
      <w:r>
        <w:t xml:space="preserve">)</w:t>
      </w:r>
      <w:r>
        <w:t xml:space="preserve">. Harlequin Ducks are likewise established users of herring spawn in this system</w:t>
      </w:r>
      <w:r>
        <w:t xml:space="preserve"> </w:t>
      </w:r>
      <w:r>
        <w:t xml:space="preserve">(</w:t>
      </w:r>
      <w:hyperlink w:anchor="ref-rodway2003">
        <w:r>
          <w:rPr>
            <w:rStyle w:val="Hyperlink"/>
          </w:rPr>
          <w:t xml:space="preserve">Rodway et al. 2003</w:t>
        </w:r>
      </w:hyperlink>
      <w:r>
        <w:t xml:space="preserve">)</w:t>
      </w:r>
      <w:r>
        <w:t xml:space="preserve">; their count response extended from spawn start through late egg, and detection became most positive late, which could reflect persistent access to roe in shallow habitats. Recorded source dates and point distances remain coarse proxies for substrate-specific availability, and depth, vegetation, tide, and wave exposure are likely effect modifiers.</w:t>
      </w:r>
    </w:p>
    <w:p>
      <w:pPr>
        <w:pStyle w:val="BodyText"/>
      </w:pPr>
      <w:r>
        <w:t xml:space="preserve">Common Merganser showed the clearest active detection increase of the three mergansers in the family, with smaller count increases, which is plausible for a piscivore near the onset of adult spawning, though mergansers can also respond to other prey concentrated in the same setting. The other two diverged from it and from each other: Hooded Merganser was already more likely to be reported near future event sources at baseline and did not change through spawning, while Red-breasted Merganser showed no detection change but a positive count interaction of 1.10. Even within one genus, the response component differed. Bald Eagle produced the sharpest onset response of any species discussed here, with both components peaking in days 0–3 and diminishing thereafter, which is compatible with rapid exploitation of adult fish, newly available spawn, scavenging, or prey made vulnerable during spawning. It is equally compatible with observers preferentially visiting spectacular onset events and reporting conspicuous eagles; contemporaneous reference checklists make a general seasonal rise unlikely as a complete explanation, but localized visitation remains possible.</w:t>
      </w:r>
    </w:p>
    <w:p>
      <w:pPr>
        <w:pStyle w:val="BodyText"/>
      </w:pPr>
      <w:r>
        <w:t xml:space="preserve">Gulls illustrate why guild-level reasoning fails here. Glaucous-winged and Short-billed Gull detection and count both increased during onset and early egg, and American Herring, Iceland, and California Gulls showed some of the largest positive interactions in the family. Gulls can access surface fish, eggs, carcasses, and shoreline material and can shift among feeding sites quickly</w:t>
      </w:r>
      <w:r>
        <w:t xml:space="preserve"> </w:t>
      </w:r>
      <w:r>
        <w:t xml:space="preserve">(</w:t>
      </w:r>
      <w:hyperlink w:anchor="ref-haegele1993">
        <w:r>
          <w:rPr>
            <w:rStyle w:val="Hyperlink"/>
          </w:rPr>
          <w:t xml:space="preserve">Haegele 1993</w:t>
        </w:r>
      </w:hyperlink>
      <w:r>
        <w:t xml:space="preserve">;</w:t>
      </w:r>
      <w:r>
        <w:t xml:space="preserve"> </w:t>
      </w:r>
      <w:hyperlink w:anchor="ref-sullivan2002">
        <w:r>
          <w:rPr>
            <w:rStyle w:val="Hyperlink"/>
          </w:rPr>
          <w:t xml:space="preserve">T. M. Sullivan, Butler, and Boyd 2002</w:t>
        </w:r>
      </w:hyperlink>
      <w:r>
        <w:t xml:space="preserve">)</w:t>
      </w:r>
      <w:r>
        <w:t xml:space="preserve">, and their conspicuousness may make changes in flocking especially detectable in checklist data. Ring-billed Gull, however, declined in both components, the only species in the family to do so. A mechanism defined at the level of</w:t>
      </w:r>
      <w:r>
        <w:t xml:space="preserve"> </w:t>
      </w:r>
      <w:r>
        <w:t xml:space="preserve">“</w:t>
      </w:r>
      <w:r>
        <w:t xml:space="preserve">gulls can reach this food</w:t>
      </w:r>
      <w:r>
        <w:t xml:space="preserve">”</w:t>
      </w:r>
      <w:r>
        <w:t xml:space="preserve"> </w:t>
      </w:r>
      <w:r>
        <w:t xml:space="preserve">cannot accommodate that result, and the species differ in ways the design does not measure, including their use of inland, agricultural, and urban sites during spring. The same caution applies to corvids, where American Crow baseline differences vanished in the interaction while Common Raven detection declined modestly.</w:t>
      </w:r>
    </w:p>
    <w:p>
      <w:pPr>
        <w:pStyle w:val="BodyText"/>
      </w:pPr>
      <w:r>
        <w:t xml:space="preserve">The dabbling ducks and geese break the guild logic from the other direction. Mallard, Northern Pintail, American Wigeon, and Northern Shoveler all rose, as did Canada Goose, and Northern Pintail’s detection interaction exceeded that of every roe-diving and piscivorous species in the discussed panel. These taxa may use productive shoreline habitat, displaced invertebrates, or vegetation associated with spawning bays without targeting herring, and dabbling ducks do take loose roe opportunistically in some systems, but neither pathway plausibly scales to the largest detection interaction in the panel. The more economical reading is that sheltered, roe-bearing bays and spring waterfowl habitat coincide, and that both coincide with where people go birding. That reading does not eliminate the scoter, gull, merganser, and eagle results, whose timing and component structure track the resource in ways a pure siting artefact would not explain, but it does limit how much of the family-wide signal trophic ecology can carry.</w:t>
      </w:r>
    </w:p>
    <w:bookmarkEnd w:id="47"/>
    <w:bookmarkStart w:id="48" w:name="timing-scale-and-redistribution"/>
    <w:p>
      <w:pPr>
        <w:pStyle w:val="Heading2"/>
      </w:pPr>
      <w:r>
        <w:t xml:space="preserve">4.4 Timing, scale, and redistribution</w:t>
      </w:r>
    </w:p>
    <w:p>
      <w:pPr>
        <w:pStyle w:val="FirstParagraph"/>
      </w:pPr>
      <w:r>
        <w:t xml:space="preserve">Event timing was informative because the family-wide signal was not already present in the pre-spawn summary, and because count responses increased most broadly at spawn start and early egg. That concentration suits a short pulse whose accessible pathways shift from adult fish and deposition to attached eggs and later residual material, and different taxa peaked in different periods, as expected from differences in diet, diving ability, flocking, and shoreline access. The windows should not be read as sharply bounded biological states: onset dates may lag or precede local availability, events continue, eggs persist, and concurrent events place one checklist in more than one cell. Late-egg responses were mixed, with Surf Scoter, Harlequin Duck, gulls, and Mallard retaining count increases while Bald Eagle returned toward baseline; persistence could reflect eggs, carcasses, associated prey, or repeated nearby events, and decline could reflect depletion, movement to a newer event, or changed observation.</w:t>
      </w:r>
    </w:p>
    <w:p>
      <w:pPr>
        <w:pStyle w:val="BodyText"/>
      </w:pPr>
      <w:r>
        <w:t xml:space="preserve">The interaction is local in both space and interpretation.</w:t>
      </w:r>
      <w:r>
        <w:t xml:space="preserve"> </w:t>
      </w:r>
      <w:r>
        <w:t xml:space="preserve">“</w:t>
      </w:r>
      <w:r>
        <w:t xml:space="preserve">Near</w:t>
      </w:r>
      <w:r>
        <w:t xml:space="preserve">”</w:t>
      </w:r>
      <w:r>
        <w:t xml:space="preserve"> </w:t>
      </w:r>
      <w:r>
        <w:t xml:space="preserve">means a checklist point within 5 km of at least one recorded source event and</w:t>
      </w:r>
      <w:r>
        <w:t xml:space="preserve"> </w:t>
      </w:r>
      <w:r>
        <w:t xml:space="preserve">“</w:t>
      </w:r>
      <w:r>
        <w:t xml:space="preserve">reference</w:t>
      </w:r>
      <w:r>
        <w:t xml:space="preserve">”</w:t>
      </w:r>
      <w:r>
        <w:t xml:space="preserve"> </w:t>
      </w:r>
      <w:r>
        <w:t xml:space="preserve">means linked events 5–20 km away, distances that are broad relative to the foraging scale of some birds and narrow relative to the daily movement of others. Redistribution is one plausible source of the signal: birds moving from reference shorelines toward newly active sites would raise near detections or flock sizes relative to reference, birds arriving from outside both zones would raise both, and resident flocks merging near spawn would raise conditional count while leaving detection stable, as observed for several sea ducks. Each process implies a different relationship between these local coefficients and the total number of birds in the Strait, and distinguishing them would require an estimand that preserves the regional total and models interference among sites. We therefore use</w:t>
      </w:r>
      <w:r>
        <w:t xml:space="preserve"> </w:t>
      </w:r>
      <w:r>
        <w:t xml:space="preserve">“</w:t>
      </w:r>
      <w:r>
        <w:t xml:space="preserve">local aggregation</w:t>
      </w:r>
      <w:r>
        <w:t xml:space="preserve">”</w:t>
      </w:r>
      <w:r>
        <w:t xml:space="preserve"> </w:t>
      </w:r>
      <w:r>
        <w:t xml:space="preserve">as a compatible interpretation rather than an identified movement mechanism. Scale also shapes the null results: a taxon could respond within hundreds of metres of deposited eggs while a 5-km near zone dilutes the change, or respond across more than 20 km so that both zones move together. A null interaction can mean no average divergence at the chosen scale rather than no biological response.</w:t>
      </w:r>
    </w:p>
    <w:bookmarkEnd w:id="48"/>
    <w:bookmarkStart w:id="49" w:name="X63936a76eed0a21fc76a43717a9e32d80a914a9"/>
    <w:p>
      <w:pPr>
        <w:pStyle w:val="Heading2"/>
      </w:pPr>
      <w:r>
        <w:t xml:space="preserve">4.5 What the specificity comparison does and does not show</w:t>
      </w:r>
    </w:p>
    <w:p>
      <w:pPr>
        <w:pStyle w:val="FirstParagraph"/>
      </w:pPr>
      <w:r>
        <w:t xml:space="preserve">Specificity was evaluated with taxa rather than assumed from natural-history labels, and the two nominated comparators turned out to be too small a test. Northern Shoveler showed a positive active interaction, which means that shared migration, habitat, access, submission, classification, or indirect ecology can generate an event-timed near/reference increase, and weakens any claim that positive focal coefficients reflect direct use of herring. Gadwall showed none.</w:t>
      </w:r>
    </w:p>
    <w:p>
      <w:pPr>
        <w:pStyle w:val="BodyText"/>
      </w:pPr>
      <w:r>
        <w:t xml:space="preserve">It would be a mistake to read Gadwall’s null as evidence that the analysis does not mechanically push dabbling ducks upward, which is how we would have read it had we examined only the nominated pair. Across the whole family, four of the five dabbling ducks rose in at least one component, and Gadwall is the single exception. Two comparators cannot bound the false-positive rate in a guild where four of five taxa respond, and with one null and one positive they happened to split in a way that looks more reassuring than the family warrants. The informative specificity evidence here came instead from the 38 core species outside the panel, which were never intended to serve that purpose.</w:t>
      </w:r>
    </w:p>
    <w:p>
      <w:pPr>
        <w:pStyle w:val="BodyText"/>
      </w:pPr>
      <w:r>
        <w:t xml:space="preserve">A stronger design would use habitat-matched reference shorelines, direct measures of observer visitation, and several comparator taxa chosen before prospective outcomes are available, with tide, daylight, weather, substrate, and shoreline exposure frozen as a small mechanistically justified set. Adding those covariates now, after observing these outcomes, would risk a result-selected repair.</w:t>
      </w:r>
    </w:p>
    <w:bookmarkEnd w:id="49"/>
    <w:bookmarkStart w:id="50" w:name="Xa6833b69119985006454f3b503aab4bfa7f954c"/>
    <w:p>
      <w:pPr>
        <w:pStyle w:val="Heading2"/>
      </w:pPr>
      <w:r>
        <w:t xml:space="preserve">4.6 Community science as an event-monitoring system</w:t>
      </w:r>
    </w:p>
    <w:p>
      <w:pPr>
        <w:pStyle w:val="FirstParagraph"/>
      </w:pPr>
      <w:r>
        <w:t xml:space="preserve">The breadth of eBird supplied a sample that event-focused field studies rarely achieve: 217,200 complete checklists across 21 years and a 49-species family, with complete-checklist semantics supporting detection outcomes, effort covariates describing part of the observation process, and repeated observers and locations supporting random intercepts. The same flexibility is the principal limitation. Participants choose sites and dates, a known spawn can attract observers, travelling routes are represented by a point, and source events are represented by recorded points rather than prey surfaces. Random intercepts and effort terms reduce some of this structure but do not make checklists a probability sample</w:t>
      </w:r>
      <w:r>
        <w:t xml:space="preserve"> </w:t>
      </w:r>
      <w:r>
        <w:t xml:space="preserve">(</w:t>
      </w:r>
      <w:hyperlink w:anchor="ref-johnston2018">
        <w:r>
          <w:rPr>
            <w:rStyle w:val="Hyperlink"/>
          </w:rPr>
          <w:t xml:space="preserve">Johnston et al. 2018</w:t>
        </w:r>
      </w:hyperlink>
      <w:r>
        <w:t xml:space="preserve">,</w:t>
      </w:r>
      <w:r>
        <w:t xml:space="preserve"> </w:t>
      </w:r>
      <w:hyperlink w:anchor="ref-johnston2021">
        <w:r>
          <w:rPr>
            <w:rStyle w:val="Hyperlink"/>
          </w:rPr>
          <w:t xml:space="preserve">2021</w:t>
        </w:r>
      </w:hyperlink>
      <w:r>
        <w:t xml:space="preserve">)</w:t>
      </w:r>
      <w:r>
        <w:t xml:space="preserve">.</w:t>
      </w:r>
    </w:p>
    <w:p>
      <w:pPr>
        <w:pStyle w:val="BodyText"/>
      </w:pPr>
      <w:r>
        <w:t xml:space="preserve">The most defensible use is therefore hypothesis refinement and surveillance. Community-science records can identify which taxa, components, periods, and locations deserve targeted follow-up, after which structured surveys can test whether detection, numbers, behaviour, and diet change at matched near and reference shorelines. The design generalizes to other ephemeral events, and its ingredients are an event clock, contemporaneous spatial references, a pre-event spatial baseline, response components matched to observation semantics, and explicit handling of concurrent links. Those ingredients do not convert opportunistic data into an experiment, but they do move the estimand closer to the ecological alternative under discussion. For herring specifically, the framing shifts from asking whether birds are associated with spawn to asking how a local spatial contrast changes through onset and egg availability, which separates persistent habitat use from event-linked change, common migration from local divergence, and occurrence from flock size.</w:t>
      </w:r>
    </w:p>
    <w:bookmarkEnd w:id="50"/>
    <w:bookmarkStart w:id="51" w:name="limitations-and-future-directions"/>
    <w:p>
      <w:pPr>
        <w:pStyle w:val="Heading2"/>
      </w:pPr>
      <w:r>
        <w:t xml:space="preserve">4.7 Limitations and future directions</w:t>
      </w:r>
    </w:p>
    <w:p>
      <w:pPr>
        <w:pStyle w:val="FirstParagraph"/>
      </w:pPr>
      <w:r>
        <w:t xml:space="preserve">The design relies on parallel change between near and reference zones absent a local response. It removes a common seasonal shift and a stable baseline zone difference, but not the zone-differential confounders defined in the Methods, and the dabbling ducks and geese demonstrate that such structure remains and is not confined to a single comparator. Exposure is approximate: distance runs from a checklist point to a recorded source point rather than from a route to a realized prey footprint, onset can be uncertain, eggs can be transported or lost, and additive link counts do not measure prey quantity. Responses are observation outcomes throughout: detection is not occupancy, conditional count excludes unquantified and ambiguous detections and may describe a selected subset of conditions, and neither component measures regional abundance, demographic response, ingestion, or individual movement. Not every model was estimable, which limits complete taxonomic comparison, and calendar day-of-year and checklist start time were not carried into the frozen frame, so date and time-of-day balance cannot be shown here and time of day could not enter the detection model. Multiple testing is substantial, and effect sizes, intervals, family context, timing coherence, and prior natural history should carry more weight than a binary q-value threshold.</w:t>
      </w:r>
    </w:p>
    <w:p>
      <w:pPr>
        <w:pStyle w:val="BodyText"/>
      </w:pPr>
      <w:r>
        <w:t xml:space="preserve">Two sensitivity analyses support the primary result. Refitting on the 72,443 checklists linked to a single event preserved the flock-size interactions, which were often larger on that subset, so the additive treatment of concurrent events does not drive the findings. A distributional check showed the log-count model is well justified for the species that carry the flock-size result, whose counts are well spread, and weak mainly for species whose count response is already small or null. A Laplace (</w:t>
      </w:r>
      <w:r>
        <w:rPr>
          <w:rStyle w:val="VerbatimChar"/>
        </w:rPr>
        <w:t xml:space="preserve">nAGQ = 1</w:t>
      </w:r>
      <w:r>
        <w:t xml:space="preserve">) detection refit and a negative-binomial count refit were computationally impractical at this data scale with three crossed random effects and are recommended for the revision compute environment.</w:t>
      </w:r>
    </w:p>
    <w:p>
      <w:pPr>
        <w:pStyle w:val="BodyText"/>
      </w:pPr>
      <w:r>
        <w:t xml:space="preserve">Prospective confirmation should freeze the present primary interaction, comparator panel, and interpretation rules; treat the complete 2026–2028 release as one locked unit without interim looks; execute the fixed 0–14 day interaction for both outcomes; and preserve all named species regardless of direction. Agreement in effect direction, timing, and response component would be more persuasive than replication of q-value status alone. Any environmental sensitivity should be specified from external knowledge and frozen without using holdout responses.</w:t>
      </w:r>
    </w:p>
    <w:p>
      <w:pPr>
        <w:pStyle w:val="BodyText"/>
      </w:pPr>
      <w:r>
        <w:t xml:space="preserve">Targeted field work can address what a checklist analysis cannot. Repeated counts at matched shorelines could estimate total local numbers rather than conditional reports, behavioural scans and prey sampling could distinguish foraging from resting or passage, tagged birds could reveal arrival and residence and movement among successive spawn sites, and observations spanning tide and daylight could separate availability from detectability. Ring-billed Gull, Rhinoceros Auklet, and Western Grebe deserve particular attention, because a negative interaction of that magnitude is as informative about local redistribution as the positive results are.</w:t>
      </w:r>
    </w:p>
    <w:bookmarkEnd w:id="51"/>
    <w:bookmarkEnd w:id="52"/>
    <w:bookmarkStart w:id="53" w:name="conclusions"/>
    <w:p>
      <w:pPr>
        <w:pStyle w:val="Heading1"/>
      </w:pPr>
      <w:r>
        <w:t xml:space="preserve">5. Conclusions</w:t>
      </w:r>
    </w:p>
    <w:p>
      <w:pPr>
        <w:pStyle w:val="FirstParagraph"/>
      </w:pPr>
      <w:r>
        <w:t xml:space="preserve">A spatial near/reference contrast that is contemporaneous and baseline-subtracted is stronger migration-adjusted evidence than comparing spawn dates to earlier spring dates, and applying it here yields three findings the raw comparison would miss. Responses were heterogeneous and expressed more consistently through flock size than through detection, so separating the two components is necessary rather than optional. Positive interactions were concentrated after recorded onset, not in the 14 days before it, which is what an event-linked pulse, and not a uniform migration trend, predicts. And the breadth of the response, including four of five dabbling ducks, Canada Goose, and a Northern Pintail detection interaction larger than any in the discussed panel, sets a ceiling on how much of the pattern a trophic mechanism can carry and identifies zone-differential habitat, access, and reporting structure as the remaining alternative. The interaction is therefore best read as taxon-specific, event-linked local aggregation, especially where flock-size responses track egg availability, and it requires prospective confirmation and structured local study before any claim about movement, abundance, or direct use of herring.</w:t>
      </w:r>
    </w:p>
    <w:bookmarkEnd w:id="53"/>
    <w:bookmarkStart w:id="54" w:name="data-availability"/>
    <w:p>
      <w:pPr>
        <w:pStyle w:val="Heading1"/>
      </w:pPr>
      <w:r>
        <w:t xml:space="preserve">6. Data availability</w:t>
      </w:r>
    </w:p>
    <w:p>
      <w:pPr>
        <w:pStyle w:val="FirstParagraph"/>
      </w:pPr>
      <w:r>
        <w:t xml:space="preserve">Raw eBird and herring source records, checklist identifiers, observer identifiers, locality identifiers, exact coordinates, and record-level derivatives are restricted and are not distributed in the repository. Privacy-safe aggregate estimates, support summaries, diagnostics, specifications, execution records, and hash manifests are provided with the reproducible analysis package. Source datasets remain available from their respective custodians under applicable terms.</w:t>
      </w:r>
    </w:p>
    <w:bookmarkEnd w:id="54"/>
    <w:bookmarkStart w:id="55" w:name="code-availability"/>
    <w:p>
      <w:pPr>
        <w:pStyle w:val="Heading1"/>
      </w:pPr>
      <w:r>
        <w:t xml:space="preserve">7. Code availability</w:t>
      </w:r>
    </w:p>
    <w:p>
      <w:pPr>
        <w:pStyle w:val="FirstParagraph"/>
      </w:pPr>
      <w:r>
        <w:t xml:space="preserve">Versioned R, Python, and PowerShell code for fixture and production execution, the frozen event-study specification, aggregate output manifests, the manuscript asset builder, and tests are included in the repository. The specification, species roles, windows, and contrasts were fixture-tested before execution, and the production code halts if the discussed panel is not exactly the eleven pre-registered taxa. Production execution requires an explicit authorization acknowledgement and protected inputs matching recorded hashes. Outputs of the earlier registered analysis are preserved unchanged.</w:t>
      </w:r>
    </w:p>
    <w:bookmarkEnd w:id="55"/>
    <w:bookmarkStart w:id="56" w:name="declarations"/>
    <w:p>
      <w:pPr>
        <w:pStyle w:val="Heading1"/>
      </w:pPr>
      <w:r>
        <w:t xml:space="preserve">8. Declarations</w:t>
      </w:r>
    </w:p>
    <w:p>
      <w:pPr>
        <w:pStyle w:val="FirstParagraph"/>
      </w:pPr>
      <w:r>
        <w:rPr>
          <w:b/>
          <w:bCs/>
        </w:rPr>
        <w:t xml:space="preserve">Funding:</w:t>
      </w:r>
      <w:r>
        <w:t xml:space="preserve"> </w:t>
      </w:r>
      <w:r>
        <w:t xml:space="preserve">[AUTHOR TO SUPPLY.]</w:t>
      </w:r>
    </w:p>
    <w:p>
      <w:pPr>
        <w:pStyle w:val="BodyText"/>
      </w:pPr>
      <w:r>
        <w:rPr>
          <w:b/>
          <w:bCs/>
        </w:rPr>
        <w:t xml:space="preserve">Competing interests:</w:t>
      </w:r>
      <w:r>
        <w:t xml:space="preserve"> </w:t>
      </w:r>
      <w:r>
        <w:t xml:space="preserve">The author declares no competing interests.</w:t>
      </w:r>
    </w:p>
    <w:p>
      <w:pPr>
        <w:pStyle w:val="BodyText"/>
      </w:pPr>
      <w:r>
        <w:rPr>
          <w:b/>
          <w:bCs/>
        </w:rPr>
        <w:t xml:space="preserve">Ethics:</w:t>
      </w:r>
      <w:r>
        <w:t xml:space="preserve"> </w:t>
      </w:r>
      <w:r>
        <w:t xml:space="preserve">The study used existing biodiversity and fisheries-monitoring records and involved no direct handling of animals.</w:t>
      </w:r>
    </w:p>
    <w:p>
      <w:pPr>
        <w:pStyle w:val="BodyText"/>
      </w:pPr>
      <w:r>
        <w:rPr>
          <w:b/>
          <w:bCs/>
        </w:rPr>
        <w:t xml:space="preserve">Author contributions:</w:t>
      </w:r>
      <w:r>
        <w:t xml:space="preserve"> </w:t>
      </w:r>
      <w:r>
        <w:t xml:space="preserve">Jacob T. Dingwall: Conceptualization, Methodology, Software, Formal analysis, Investigation, Data curation, Visualization, Writing – original draft, Writing – review and editing.</w:t>
      </w:r>
    </w:p>
    <w:p>
      <w:pPr>
        <w:pStyle w:val="BodyText"/>
      </w:pPr>
      <w:r>
        <w:rPr>
          <w:b/>
          <w:bCs/>
        </w:rPr>
        <w:t xml:space="preserve">Use of generative AI:</w:t>
      </w:r>
      <w:r>
        <w:t xml:space="preserve"> </w:t>
      </w:r>
      <w:r>
        <w:t xml:space="preserve">[AUTHOR TO REVIEW AND SUPPLY JOURNAL-COMPLIANT DISCLOSURE.]</w:t>
      </w:r>
    </w:p>
    <w:bookmarkEnd w:id="56"/>
    <w:bookmarkStart w:id="57" w:name="acknowledgments"/>
    <w:p>
      <w:pPr>
        <w:pStyle w:val="Heading1"/>
      </w:pPr>
      <w:r>
        <w:t xml:space="preserve">9. Acknowledgments</w:t>
      </w:r>
    </w:p>
    <w:p>
      <w:pPr>
        <w:pStyle w:val="FirstParagraph"/>
      </w:pPr>
      <w:r>
        <w:t xml:space="preserve">We thank the eBird participants, data reviewers, and Fisheries and Oceans Canada personnel whose observations and monitoring made this analysis possible. [AUTHOR TO SUPPLY additional acknowledgments.]</w:t>
      </w:r>
    </w:p>
    <w:bookmarkEnd w:id="57"/>
    <w:bookmarkStart w:id="107" w:name="references"/>
    <w:p>
      <w:pPr>
        <w:pStyle w:val="Heading1"/>
      </w:pPr>
      <w:r>
        <w:t xml:space="preserve">10. References</w:t>
      </w:r>
    </w:p>
    <w:bookmarkStart w:id="106" w:name="refs"/>
    <w:bookmarkStart w:id="59" w:name="ref-bates2015"/>
    <w:p>
      <w:pPr>
        <w:pStyle w:val="Bibliography"/>
      </w:pPr>
      <w:r>
        <w:t xml:space="preserve">Bates, Douglas, Martin Maechler, Ben Bolker, and Steve Walker. 2015.</w:t>
      </w:r>
      <w:r>
        <w:t xml:space="preserve"> </w:t>
      </w:r>
      <w:r>
        <w:t xml:space="preserve">“Fitting Linear Mixed-Effects Models Using Lme4.”</w:t>
      </w:r>
      <w:r>
        <w:t xml:space="preserve"> </w:t>
      </w:r>
      <w:r>
        <w:rPr>
          <w:i/>
          <w:iCs/>
        </w:rPr>
        <w:t xml:space="preserve">J. Stat. Softw.</w:t>
      </w:r>
      <w:r>
        <w:t xml:space="preserve"> </w:t>
      </w:r>
      <w:r>
        <w:t xml:space="preserve">67 (1): 1–48.</w:t>
      </w:r>
      <w:r>
        <w:t xml:space="preserve"> </w:t>
      </w:r>
      <w:hyperlink r:id="rId58">
        <w:r>
          <w:rPr>
            <w:rStyle w:val="Hyperlink"/>
          </w:rPr>
          <w:t xml:space="preserve">https://doi.org/10.18637/jss.v067.i01</w:t>
        </w:r>
      </w:hyperlink>
      <w:r>
        <w:t xml:space="preserve">.</w:t>
      </w:r>
    </w:p>
    <w:bookmarkEnd w:id="59"/>
    <w:bookmarkStart w:id="61" w:name="ref-benjamini1995"/>
    <w:p>
      <w:pPr>
        <w:pStyle w:val="Bibliography"/>
      </w:pPr>
      <w:r>
        <w:t xml:space="preserve">Benjamini, Yoav, and Yosef Hochberg. 1995.</w:t>
      </w:r>
      <w:r>
        <w:t xml:space="preserve"> </w:t>
      </w:r>
      <w:r>
        <w:t xml:space="preserve">“Controlling the False Discovery Rate: A Practical and Powerful Approach to Multiple Testing.”</w:t>
      </w:r>
      <w:r>
        <w:t xml:space="preserve"> </w:t>
      </w:r>
      <w:r>
        <w:rPr>
          <w:i/>
          <w:iCs/>
        </w:rPr>
        <w:t xml:space="preserve">J. R. Stat. Soc. Ser. B Stat. Methodol.</w:t>
      </w:r>
      <w:r>
        <w:t xml:space="preserve"> </w:t>
      </w:r>
      <w:r>
        <w:t xml:space="preserve">57 (1): 289–300.</w:t>
      </w:r>
      <w:r>
        <w:t xml:space="preserve"> </w:t>
      </w:r>
      <w:hyperlink r:id="rId60">
        <w:r>
          <w:rPr>
            <w:rStyle w:val="Hyperlink"/>
          </w:rPr>
          <w:t xml:space="preserve">https://doi.org/10.1111/j.2517-6161.1995.tb02031.x</w:t>
        </w:r>
      </w:hyperlink>
      <w:r>
        <w:t xml:space="preserve">.</w:t>
      </w:r>
    </w:p>
    <w:bookmarkEnd w:id="61"/>
    <w:bookmarkStart w:id="63" w:name="ref-butsic2017"/>
    <w:p>
      <w:pPr>
        <w:pStyle w:val="Bibliography"/>
      </w:pPr>
      <w:r>
        <w:t xml:space="preserve">Butsic, Van, David J. Lewis, Volker C. Radeloff, Matthias Baumann, and Tobias Kuemmerle. 2017.</w:t>
      </w:r>
      <w:r>
        <w:t xml:space="preserve"> </w:t>
      </w:r>
      <w:r>
        <w:t xml:space="preserve">“Quasi-Experimental Methods Enable Stronger Inferences from Observational Data in Ecology.”</w:t>
      </w:r>
      <w:r>
        <w:t xml:space="preserve"> </w:t>
      </w:r>
      <w:r>
        <w:rPr>
          <w:i/>
          <w:iCs/>
        </w:rPr>
        <w:t xml:space="preserve">Basic Appl. Ecol.</w:t>
      </w:r>
      <w:r>
        <w:t xml:space="preserve"> </w:t>
      </w:r>
      <w:r>
        <w:t xml:space="preserve">19: 1–10.</w:t>
      </w:r>
      <w:r>
        <w:t xml:space="preserve"> </w:t>
      </w:r>
      <w:hyperlink r:id="rId62">
        <w:r>
          <w:rPr>
            <w:rStyle w:val="Hyperlink"/>
          </w:rPr>
          <w:t xml:space="preserve">https://doi.org/10.1016/j.baae.2017.01.005</w:t>
        </w:r>
      </w:hyperlink>
      <w:r>
        <w:t xml:space="preserve">.</w:t>
      </w:r>
    </w:p>
    <w:bookmarkEnd w:id="63"/>
    <w:bookmarkStart w:id="65" w:name="ref-ebird_ebd"/>
    <w:p>
      <w:pPr>
        <w:pStyle w:val="Bibliography"/>
      </w:pPr>
      <w:r>
        <w:t xml:space="preserve">eBird. 2026.</w:t>
      </w:r>
      <w:r>
        <w:t xml:space="preserve"> </w:t>
      </w:r>
      <w:r>
        <w:t xml:space="preserve">“eBird Basic Dataset, Version EBD_relMay-2026.”</w:t>
      </w:r>
      <w:r>
        <w:t xml:space="preserve"> </w:t>
      </w:r>
      <w:r>
        <w:t xml:space="preserve">Cornell Lab of Ornithology, Ithaca, New York.</w:t>
      </w:r>
      <w:r>
        <w:t xml:space="preserve"> </w:t>
      </w:r>
      <w:hyperlink r:id="rId64">
        <w:r>
          <w:rPr>
            <w:rStyle w:val="Hyperlink"/>
          </w:rPr>
          <w:t xml:space="preserve">https://support.ebird.org/en/support/solutions/articles/48000838205-download-ebird-data</w:t>
        </w:r>
      </w:hyperlink>
      <w:r>
        <w:t xml:space="preserve">.</w:t>
      </w:r>
    </w:p>
    <w:bookmarkEnd w:id="65"/>
    <w:bookmarkStart w:id="67" w:name="ref-dfo_spawn_data"/>
    <w:p>
      <w:pPr>
        <w:pStyle w:val="Bibliography"/>
      </w:pPr>
      <w:r>
        <w:t xml:space="preserve">Fisheries and Oceans Canada. 2026.</w:t>
      </w:r>
      <w:r>
        <w:t xml:space="preserve"> </w:t>
      </w:r>
      <w:r>
        <w:t xml:space="preserve">“Pacific Herring Spawn Index Data.”</w:t>
      </w:r>
      <w:r>
        <w:t xml:space="preserve"> </w:t>
      </w:r>
      <w:r>
        <w:t xml:space="preserve">Open Government Portal, record d892511c-d851-4f85-a0ec-708bc05d2810.</w:t>
      </w:r>
      <w:r>
        <w:t xml:space="preserve"> </w:t>
      </w:r>
      <w:hyperlink r:id="rId66">
        <w:r>
          <w:rPr>
            <w:rStyle w:val="Hyperlink"/>
          </w:rPr>
          <w:t xml:space="preserve">https://open.canada.ca/data/en/dataset/d892511c-d851-4f85-a0ec-708bc05d2810</w:t>
        </w:r>
      </w:hyperlink>
      <w:r>
        <w:t xml:space="preserve">.</w:t>
      </w:r>
    </w:p>
    <w:bookmarkEnd w:id="67"/>
    <w:bookmarkStart w:id="69" w:name="ref-grinnell2023"/>
    <w:p>
      <w:pPr>
        <w:pStyle w:val="Bibliography"/>
      </w:pPr>
      <w:r>
        <w:t xml:space="preserve">Grinnell, M. H., J. F. Schweigert, M. Thompson, S. Hawkshaw, and J. S. Cleary. 2023.</w:t>
      </w:r>
      <w:r>
        <w:t xml:space="preserve"> </w:t>
      </w:r>
      <w:r>
        <w:t xml:space="preserve">“Calculating the Spawn Index for Pacific Herring (Clupea Pallasii) in British Columbia, Canada.”</w:t>
      </w:r>
      <w:r>
        <w:t xml:space="preserve"> </w:t>
      </w:r>
      <w:r>
        <w:t xml:space="preserve">Canadian Technical Report of Fisheries and Aquatic Sciences 3489. Fisheries; Oceans Canada.</w:t>
      </w:r>
      <w:r>
        <w:t xml:space="preserve"> </w:t>
      </w:r>
      <w:hyperlink r:id="rId68">
        <w:r>
          <w:rPr>
            <w:rStyle w:val="Hyperlink"/>
          </w:rPr>
          <w:t xml:space="preserve">https://publications.gc.ca/site/eng/9.912189/publication.html</w:t>
        </w:r>
      </w:hyperlink>
      <w:r>
        <w:t xml:space="preserve">.</w:t>
      </w:r>
    </w:p>
    <w:bookmarkEnd w:id="69"/>
    <w:bookmarkStart w:id="71" w:name="ref-haegele1993"/>
    <w:p>
      <w:pPr>
        <w:pStyle w:val="Bibliography"/>
      </w:pPr>
      <w:r>
        <w:t xml:space="preserve">Haegele, C. W. 1993.</w:t>
      </w:r>
      <w:r>
        <w:t xml:space="preserve"> </w:t>
      </w:r>
      <w:r>
        <w:t xml:space="preserve">“Seabird Predation of Pacific Herring, Clupea Pallasi, Spawn in British Columbia.”</w:t>
      </w:r>
      <w:r>
        <w:t xml:space="preserve"> </w:t>
      </w:r>
      <w:r>
        <w:rPr>
          <w:i/>
          <w:iCs/>
        </w:rPr>
        <w:t xml:space="preserve">Can. Field-Nat.</w:t>
      </w:r>
      <w:r>
        <w:t xml:space="preserve"> </w:t>
      </w:r>
      <w:r>
        <w:t xml:space="preserve">107 (1): 73–82.</w:t>
      </w:r>
      <w:r>
        <w:t xml:space="preserve"> </w:t>
      </w:r>
      <w:hyperlink r:id="rId70">
        <w:r>
          <w:rPr>
            <w:rStyle w:val="Hyperlink"/>
          </w:rPr>
          <w:t xml:space="preserve">https://doi.org/10.5962/p.357075</w:t>
        </w:r>
      </w:hyperlink>
      <w:r>
        <w:t xml:space="preserve">.</w:t>
      </w:r>
    </w:p>
    <w:bookmarkEnd w:id="71"/>
    <w:bookmarkStart w:id="73" w:name="ref-haegele1985"/>
    <w:p>
      <w:pPr>
        <w:pStyle w:val="Bibliography"/>
      </w:pPr>
      <w:r>
        <w:t xml:space="preserve">Haegele, C. W., and J. F. Schweigert. 1985.</w:t>
      </w:r>
      <w:r>
        <w:t xml:space="preserve"> </w:t>
      </w:r>
      <w:r>
        <w:t xml:space="preserve">“Distribution and Characteristics of Herring Spawning Grounds and Description of Spawning Behavior.”</w:t>
      </w:r>
      <w:r>
        <w:t xml:space="preserve"> </w:t>
      </w:r>
      <w:r>
        <w:rPr>
          <w:i/>
          <w:iCs/>
        </w:rPr>
        <w:t xml:space="preserve">Can. J. Fish. Aquat. Sci.</w:t>
      </w:r>
      <w:r>
        <w:t xml:space="preserve"> </w:t>
      </w:r>
      <w:r>
        <w:t xml:space="preserve">42 (S1): s39–55.</w:t>
      </w:r>
      <w:r>
        <w:t xml:space="preserve"> </w:t>
      </w:r>
      <w:hyperlink r:id="rId72">
        <w:r>
          <w:rPr>
            <w:rStyle w:val="Hyperlink"/>
          </w:rPr>
          <w:t xml:space="preserve">https://doi.org/10.1139/f85-261</w:t>
        </w:r>
      </w:hyperlink>
      <w:r>
        <w:t xml:space="preserve">.</w:t>
      </w:r>
    </w:p>
    <w:bookmarkEnd w:id="73"/>
    <w:bookmarkStart w:id="75" w:name="ref-hay1987"/>
    <w:p>
      <w:pPr>
        <w:pStyle w:val="Bibliography"/>
      </w:pPr>
      <w:r>
        <w:t xml:space="preserve">Hay, D. E., and A. R. Kronlund. 1987.</w:t>
      </w:r>
      <w:r>
        <w:t xml:space="preserve"> </w:t>
      </w:r>
      <w:r>
        <w:t xml:space="preserve">“Factors Affecting the Distribution, Abundance, and Measurement of Pacific Herring Spawn.”</w:t>
      </w:r>
      <w:r>
        <w:t xml:space="preserve"> </w:t>
      </w:r>
      <w:r>
        <w:rPr>
          <w:i/>
          <w:iCs/>
        </w:rPr>
        <w:t xml:space="preserve">Can. J. Fish. Aquat. Sci.</w:t>
      </w:r>
      <w:r>
        <w:t xml:space="preserve"> </w:t>
      </w:r>
      <w:r>
        <w:t xml:space="preserve">44 (6): 1181–94.</w:t>
      </w:r>
      <w:r>
        <w:t xml:space="preserve"> </w:t>
      </w:r>
      <w:hyperlink r:id="rId74">
        <w:r>
          <w:rPr>
            <w:rStyle w:val="Hyperlink"/>
          </w:rPr>
          <w:t xml:space="preserve">https://doi.org/10.1139/f87-141</w:t>
        </w:r>
      </w:hyperlink>
      <w:r>
        <w:t xml:space="preserve">.</w:t>
      </w:r>
    </w:p>
    <w:bookmarkEnd w:id="75"/>
    <w:bookmarkStart w:id="77" w:name="ref-hay2009"/>
    <w:p>
      <w:pPr>
        <w:pStyle w:val="Bibliography"/>
      </w:pPr>
      <w:r>
        <w:t xml:space="preserve">Hay, Douglas E., P. Bruce McCarter, Kristen S. Daniel, and Jacob F. Schweigert. 2009.</w:t>
      </w:r>
      <w:r>
        <w:t xml:space="preserve"> </w:t>
      </w:r>
      <w:r>
        <w:t xml:space="preserve">“Spatial Diversity of Pacific Herring Spawning Areas.”</w:t>
      </w:r>
      <w:r>
        <w:t xml:space="preserve"> </w:t>
      </w:r>
      <w:r>
        <w:rPr>
          <w:i/>
          <w:iCs/>
        </w:rPr>
        <w:t xml:space="preserve">ICES J. Mar. Sci.</w:t>
      </w:r>
      <w:r>
        <w:t xml:space="preserve"> </w:t>
      </w:r>
      <w:r>
        <w:t xml:space="preserve">66 (8): 1662–66.</w:t>
      </w:r>
      <w:r>
        <w:t xml:space="preserve"> </w:t>
      </w:r>
      <w:hyperlink r:id="rId76">
        <w:r>
          <w:rPr>
            <w:rStyle w:val="Hyperlink"/>
          </w:rPr>
          <w:t xml:space="preserve">https://doi.org/10.1093/icesjms/fsp139</w:t>
        </w:r>
      </w:hyperlink>
      <w:r>
        <w:t xml:space="preserve">.</w:t>
      </w:r>
    </w:p>
    <w:bookmarkEnd w:id="77"/>
    <w:bookmarkStart w:id="79" w:name="ref-johnston2018"/>
    <w:p>
      <w:pPr>
        <w:pStyle w:val="Bibliography"/>
      </w:pPr>
      <w:r>
        <w:t xml:space="preserve">Johnston, Alison, Daniel Fink, Wesley M. Hochachka, and Steve Kelling. 2018.</w:t>
      </w:r>
      <w:r>
        <w:t xml:space="preserve"> </w:t>
      </w:r>
      <w:r>
        <w:t xml:space="preserve">“Estimates of Observer Expertise Improve Species Distributions from Citizen Science Data.”</w:t>
      </w:r>
      <w:r>
        <w:t xml:space="preserve"> </w:t>
      </w:r>
      <w:r>
        <w:rPr>
          <w:i/>
          <w:iCs/>
        </w:rPr>
        <w:t xml:space="preserve">Methods Ecol. Evol.</w:t>
      </w:r>
      <w:r>
        <w:t xml:space="preserve"> </w:t>
      </w:r>
      <w:r>
        <w:t xml:space="preserve">9 (1): 88–97.</w:t>
      </w:r>
      <w:r>
        <w:t xml:space="preserve"> </w:t>
      </w:r>
      <w:hyperlink r:id="rId78">
        <w:r>
          <w:rPr>
            <w:rStyle w:val="Hyperlink"/>
          </w:rPr>
          <w:t xml:space="preserve">https://doi.org/10.1111/2041-210X.12838</w:t>
        </w:r>
      </w:hyperlink>
      <w:r>
        <w:t xml:space="preserve">.</w:t>
      </w:r>
    </w:p>
    <w:bookmarkEnd w:id="79"/>
    <w:bookmarkStart w:id="81" w:name="ref-johnston2021"/>
    <w:p>
      <w:pPr>
        <w:pStyle w:val="Bibliography"/>
      </w:pPr>
      <w:r>
        <w:t xml:space="preserve">Johnston, Alison, Wesley M. Hochachka, Matthew E. Strimas-Mackey, Viviana Ruiz Gutierrez, Orin J. Robinson, Eliot T. Miller, Tom Auer, Steve T. Kelling, and Daniel Fink. 2021.</w:t>
      </w:r>
      <w:r>
        <w:t xml:space="preserve"> </w:t>
      </w:r>
      <w:r>
        <w:t xml:space="preserve">“Analytical Guidelines to Increase the Value of Community Science Data: An Example Using eBird Data to Estimate Species Distributions.”</w:t>
      </w:r>
      <w:r>
        <w:t xml:space="preserve"> </w:t>
      </w:r>
      <w:r>
        <w:rPr>
          <w:i/>
          <w:iCs/>
        </w:rPr>
        <w:t xml:space="preserve">Divers. Distrib.</w:t>
      </w:r>
      <w:r>
        <w:t xml:space="preserve"> </w:t>
      </w:r>
      <w:r>
        <w:t xml:space="preserve">27 (7): 1265–77.</w:t>
      </w:r>
      <w:r>
        <w:t xml:space="preserve"> </w:t>
      </w:r>
      <w:hyperlink r:id="rId80">
        <w:r>
          <w:rPr>
            <w:rStyle w:val="Hyperlink"/>
          </w:rPr>
          <w:t xml:space="preserve">https://doi.org/10.1111/ddi.13271</w:t>
        </w:r>
      </w:hyperlink>
      <w:r>
        <w:t xml:space="preserve">.</w:t>
      </w:r>
    </w:p>
    <w:bookmarkEnd w:id="81"/>
    <w:bookmarkStart w:id="83" w:name="ref-kelling2019"/>
    <w:p>
      <w:pPr>
        <w:pStyle w:val="Bibliography"/>
      </w:pPr>
      <w:r>
        <w:t xml:space="preserve">Kelling, Steve, Alison Johnston, Aletta Bonn, Daniel Fink, Viviana Ruiz-Gutierrez, Rick Bonney, Miguel Fernandez, et al. 2019.</w:t>
      </w:r>
      <w:r>
        <w:t xml:space="preserve"> </w:t>
      </w:r>
      <w:r>
        <w:t xml:space="preserve">“Using Semistructured Surveys to Improve Citizen Science Data for Monitoring Biodiversity.”</w:t>
      </w:r>
      <w:r>
        <w:t xml:space="preserve"> </w:t>
      </w:r>
      <w:r>
        <w:rPr>
          <w:i/>
          <w:iCs/>
        </w:rPr>
        <w:t xml:space="preserve">BioScience</w:t>
      </w:r>
      <w:r>
        <w:t xml:space="preserve"> </w:t>
      </w:r>
      <w:r>
        <w:t xml:space="preserve">69 (3): 170–79.</w:t>
      </w:r>
      <w:r>
        <w:t xml:space="preserve"> </w:t>
      </w:r>
      <w:hyperlink r:id="rId82">
        <w:r>
          <w:rPr>
            <w:rStyle w:val="Hyperlink"/>
          </w:rPr>
          <w:t xml:space="preserve">https://doi.org/10.1093/biosci/biz010</w:t>
        </w:r>
      </w:hyperlink>
      <w:r>
        <w:t xml:space="preserve">.</w:t>
      </w:r>
    </w:p>
    <w:bookmarkEnd w:id="83"/>
    <w:bookmarkStart w:id="85" w:name="ref-kelly2018"/>
    <w:p>
      <w:pPr>
        <w:pStyle w:val="Bibliography"/>
      </w:pPr>
      <w:r>
        <w:t xml:space="preserve">Kelly, Jeffrey P., Carol A. Rothenbach, and Wesley W. Weathers. 2018.</w:t>
      </w:r>
      <w:r>
        <w:t xml:space="preserve"> </w:t>
      </w:r>
      <w:r>
        <w:t xml:space="preserve">“Echoes of Numerical Dependence: Responses of Wintering Waterbirds to Pacific Herring Spawns.”</w:t>
      </w:r>
      <w:r>
        <w:t xml:space="preserve"> </w:t>
      </w:r>
      <w:r>
        <w:rPr>
          <w:i/>
          <w:iCs/>
        </w:rPr>
        <w:t xml:space="preserve">Mar. Ecol. Prog. Ser.</w:t>
      </w:r>
      <w:r>
        <w:t xml:space="preserve"> </w:t>
      </w:r>
      <w:r>
        <w:t xml:space="preserve">597: 243–57.</w:t>
      </w:r>
      <w:r>
        <w:t xml:space="preserve"> </w:t>
      </w:r>
      <w:hyperlink r:id="rId84">
        <w:r>
          <w:rPr>
            <w:rStyle w:val="Hyperlink"/>
          </w:rPr>
          <w:t xml:space="preserve">https://doi.org/10.3354/meps12594</w:t>
        </w:r>
      </w:hyperlink>
      <w:r>
        <w:t xml:space="preserve">.</w:t>
      </w:r>
    </w:p>
    <w:bookmarkEnd w:id="85"/>
    <w:bookmarkStart w:id="87" w:name="ref-larsen2019"/>
    <w:p>
      <w:pPr>
        <w:pStyle w:val="Bibliography"/>
      </w:pPr>
      <w:r>
        <w:t xml:space="preserve">Larsen, Ashley E., Kyle Meng, and Bruce E. Kendall. 2019.</w:t>
      </w:r>
      <w:r>
        <w:t xml:space="preserve"> </w:t>
      </w:r>
      <w:r>
        <w:t xml:space="preserve">“Causal Analysis in Control-Impact Ecological Studies with Observational Data.”</w:t>
      </w:r>
      <w:r>
        <w:t xml:space="preserve"> </w:t>
      </w:r>
      <w:r>
        <w:rPr>
          <w:i/>
          <w:iCs/>
        </w:rPr>
        <w:t xml:space="preserve">Methods Ecol. Evol.</w:t>
      </w:r>
      <w:r>
        <w:t xml:space="preserve"> </w:t>
      </w:r>
      <w:r>
        <w:t xml:space="preserve">10 (7): 924–34.</w:t>
      </w:r>
      <w:r>
        <w:t xml:space="preserve"> </w:t>
      </w:r>
      <w:hyperlink r:id="rId86">
        <w:r>
          <w:rPr>
            <w:rStyle w:val="Hyperlink"/>
          </w:rPr>
          <w:t xml:space="preserve">https://doi.org/10.1111/2041-210X.13190</w:t>
        </w:r>
      </w:hyperlink>
      <w:r>
        <w:t xml:space="preserve">.</w:t>
      </w:r>
    </w:p>
    <w:bookmarkEnd w:id="87"/>
    <w:bookmarkStart w:id="89" w:name="ref-lewis2007"/>
    <w:p>
      <w:pPr>
        <w:pStyle w:val="Bibliography"/>
      </w:pPr>
      <w:r>
        <w:t xml:space="preserve">Lewis, Tyler L., Daniel Esler, and W. Sean Boyd. 2007.</w:t>
      </w:r>
      <w:r>
        <w:t xml:space="preserve"> </w:t>
      </w:r>
      <w:r>
        <w:t xml:space="preserve">“Foraging Behaviors of Surf Scoters and White-Winged Scoters During Spawning of Pacific Herring.”</w:t>
      </w:r>
      <w:r>
        <w:t xml:space="preserve"> </w:t>
      </w:r>
      <w:r>
        <w:rPr>
          <w:i/>
          <w:iCs/>
        </w:rPr>
        <w:t xml:space="preserve">Condor</w:t>
      </w:r>
      <w:r>
        <w:t xml:space="preserve"> </w:t>
      </w:r>
      <w:r>
        <w:t xml:space="preserve">109 (1): 216–22.</w:t>
      </w:r>
      <w:r>
        <w:t xml:space="preserve"> </w:t>
      </w:r>
      <w:hyperlink r:id="rId88">
        <w:r>
          <w:rPr>
            <w:rStyle w:val="Hyperlink"/>
          </w:rPr>
          <w:t xml:space="preserve">https://doi.org/10.1093/condor/109.1.216</w:t>
        </w:r>
      </w:hyperlink>
      <w:r>
        <w:t xml:space="preserve">.</w:t>
      </w:r>
    </w:p>
    <w:bookmarkEnd w:id="89"/>
    <w:bookmarkStart w:id="91" w:name="ref-lok2012"/>
    <w:p>
      <w:pPr>
        <w:pStyle w:val="Bibliography"/>
      </w:pPr>
      <w:r>
        <w:t xml:space="preserve">Lok, Erika K., Daniel Esler, John Y. Takekawa, Susan E. W. De La Cruz, W. Sean Boyd, David R. Nysewander, Joseph R. Evenson, and David H. Ward. 2012.</w:t>
      </w:r>
      <w:r>
        <w:t xml:space="preserve"> </w:t>
      </w:r>
      <w:r>
        <w:t xml:space="preserve">“Spatiotemporal Associations Between Pacific Herring Spawn and Surf Scoter Spring Migration: Evaluating a Silver Wave Hypothesis.”</w:t>
      </w:r>
      <w:r>
        <w:t xml:space="preserve"> </w:t>
      </w:r>
      <w:r>
        <w:rPr>
          <w:i/>
          <w:iCs/>
        </w:rPr>
        <w:t xml:space="preserve">Mar. Ecol. Prog. Ser.</w:t>
      </w:r>
      <w:r>
        <w:t xml:space="preserve"> </w:t>
      </w:r>
      <w:r>
        <w:t xml:space="preserve">457: 139–50.</w:t>
      </w:r>
      <w:r>
        <w:t xml:space="preserve"> </w:t>
      </w:r>
      <w:hyperlink r:id="rId90">
        <w:r>
          <w:rPr>
            <w:rStyle w:val="Hyperlink"/>
          </w:rPr>
          <w:t xml:space="preserve">https://doi.org/10.3354/meps09692</w:t>
        </w:r>
      </w:hyperlink>
      <w:r>
        <w:t xml:space="preserve">.</w:t>
      </w:r>
    </w:p>
    <w:bookmarkEnd w:id="91"/>
    <w:bookmarkStart w:id="93" w:name="ref-lok2008"/>
    <w:p>
      <w:pPr>
        <w:pStyle w:val="Bibliography"/>
      </w:pPr>
      <w:r>
        <w:t xml:space="preserve">Lok, Erika K., Molly Kirk, Daniel Esler, and W. Sean Boyd. 2008.</w:t>
      </w:r>
      <w:r>
        <w:t xml:space="preserve"> </w:t>
      </w:r>
      <w:r>
        <w:t xml:space="preserve">“Movements of Pre-Migratory Surf and White-Winged Scoters in Response to Pacific Herring Spawn.”</w:t>
      </w:r>
      <w:r>
        <w:t xml:space="preserve"> </w:t>
      </w:r>
      <w:r>
        <w:rPr>
          <w:i/>
          <w:iCs/>
        </w:rPr>
        <w:t xml:space="preserve">Waterbirds</w:t>
      </w:r>
      <w:r>
        <w:t xml:space="preserve"> </w:t>
      </w:r>
      <w:r>
        <w:t xml:space="preserve">31 (3): 385–93.</w:t>
      </w:r>
      <w:r>
        <w:t xml:space="preserve"> </w:t>
      </w:r>
      <w:hyperlink r:id="rId92">
        <w:r>
          <w:rPr>
            <w:rStyle w:val="Hyperlink"/>
          </w:rPr>
          <w:t xml:space="preserve">https://doi.org/10.1675/1524-4695-31.3.385</w:t>
        </w:r>
      </w:hyperlink>
      <w:r>
        <w:t xml:space="preserve">.</w:t>
      </w:r>
    </w:p>
    <w:bookmarkEnd w:id="93"/>
    <w:bookmarkStart w:id="95" w:name="ref-rodway2003"/>
    <w:p>
      <w:pPr>
        <w:pStyle w:val="Bibliography"/>
      </w:pPr>
      <w:r>
        <w:t xml:space="preserve">Rodway, Michael S., Heidi M. Regehr, John Ashley, Peter V. Clarkson, R. Ian Goudie, Douglas E. Hay, Cyndi M. Smith, and Kenneth G. Wright. 2003.</w:t>
      </w:r>
      <w:r>
        <w:t xml:space="preserve"> </w:t>
      </w:r>
      <w:r>
        <w:t xml:space="preserve">“Aggregative Response of Harlequin Ducks to Herring Spawning in the Strait of Georgia, British Columbia.”</w:t>
      </w:r>
      <w:r>
        <w:t xml:space="preserve"> </w:t>
      </w:r>
      <w:r>
        <w:rPr>
          <w:i/>
          <w:iCs/>
        </w:rPr>
        <w:t xml:space="preserve">Can. J. Zool.</w:t>
      </w:r>
      <w:r>
        <w:t xml:space="preserve"> </w:t>
      </w:r>
      <w:r>
        <w:t xml:space="preserve">81 (3): 504–14.</w:t>
      </w:r>
      <w:r>
        <w:t xml:space="preserve"> </w:t>
      </w:r>
      <w:hyperlink r:id="rId94">
        <w:r>
          <w:rPr>
            <w:rStyle w:val="Hyperlink"/>
          </w:rPr>
          <w:t xml:space="preserve">https://doi.org/10.1139/z03-032</w:t>
        </w:r>
      </w:hyperlink>
      <w:r>
        <w:t xml:space="preserve">.</w:t>
      </w:r>
    </w:p>
    <w:bookmarkEnd w:id="95"/>
    <w:bookmarkStart w:id="97" w:name="ref-rooper2024"/>
    <w:p>
      <w:pPr>
        <w:pStyle w:val="Bibliography"/>
      </w:pPr>
      <w:r>
        <w:t xml:space="preserve">Rooper, Christopher N., Jennifer L. Boldt, Jaclyn Cleary, Angelica M. Pena, Matt Thompson, and Matthew Grinnell. 2024.</w:t>
      </w:r>
      <w:r>
        <w:t xml:space="preserve"> </w:t>
      </w:r>
      <w:r>
        <w:t xml:space="preserve">“Evaluating Factors Affecting the Distribution and Timing of Pacific Herring Spawn in British Columbia.”</w:t>
      </w:r>
      <w:r>
        <w:t xml:space="preserve"> </w:t>
      </w:r>
      <w:r>
        <w:rPr>
          <w:i/>
          <w:iCs/>
        </w:rPr>
        <w:t xml:space="preserve">Mar. Ecol. Prog. Ser.</w:t>
      </w:r>
      <w:r>
        <w:t xml:space="preserve"> </w:t>
      </w:r>
      <w:r>
        <w:t xml:space="preserve">741: 251–69.</w:t>
      </w:r>
      <w:r>
        <w:t xml:space="preserve"> </w:t>
      </w:r>
      <w:hyperlink r:id="rId96">
        <w:r>
          <w:rPr>
            <w:rStyle w:val="Hyperlink"/>
          </w:rPr>
          <w:t xml:space="preserve">https://doi.org/10.3354/meps14274</w:t>
        </w:r>
      </w:hyperlink>
      <w:r>
        <w:t xml:space="preserve">.</w:t>
      </w:r>
    </w:p>
    <w:bookmarkEnd w:id="97"/>
    <w:bookmarkStart w:id="99" w:name="ref-roth2023"/>
    <w:p>
      <w:pPr>
        <w:pStyle w:val="Bibliography"/>
      </w:pPr>
      <w:r>
        <w:t xml:space="preserve">Roth, Jonathan, Pedro H. C. Sant’Anna, Alyssa Bilinski, and John Poe. 2023.</w:t>
      </w:r>
      <w:r>
        <w:t xml:space="preserve"> </w:t>
      </w:r>
      <w:r>
        <w:t xml:space="preserve">“What’s Trending in Difference-in-Differences? A Synthesis of the Recent Econometrics Literature.”</w:t>
      </w:r>
      <w:r>
        <w:t xml:space="preserve"> </w:t>
      </w:r>
      <w:r>
        <w:rPr>
          <w:i/>
          <w:iCs/>
        </w:rPr>
        <w:t xml:space="preserve">J. Econom.</w:t>
      </w:r>
      <w:r>
        <w:t xml:space="preserve"> </w:t>
      </w:r>
      <w:r>
        <w:t xml:space="preserve">235 (2): 2218–44.</w:t>
      </w:r>
      <w:r>
        <w:t xml:space="preserve"> </w:t>
      </w:r>
      <w:hyperlink r:id="rId98">
        <w:r>
          <w:rPr>
            <w:rStyle w:val="Hyperlink"/>
          </w:rPr>
          <w:t xml:space="preserve">https://doi.org/10.1016/j.jeconom.2023.03.008</w:t>
        </w:r>
      </w:hyperlink>
      <w:r>
        <w:t xml:space="preserve">.</w:t>
      </w:r>
    </w:p>
    <w:bookmarkEnd w:id="99"/>
    <w:bookmarkStart w:id="101" w:name="ref-sullivan2009"/>
    <w:p>
      <w:pPr>
        <w:pStyle w:val="Bibliography"/>
      </w:pPr>
      <w:r>
        <w:t xml:space="preserve">Sullivan, Brian L., Christopher L. Wood, Marshall J. Iliff, Rick E. Bonney, Daniel Fink, and Steve Kelling. 2009.</w:t>
      </w:r>
      <w:r>
        <w:t xml:space="preserve"> </w:t>
      </w:r>
      <w:r>
        <w:t xml:space="preserve">“eBird: A Citizen-Based Bird Observation Network in the Biological Sciences.”</w:t>
      </w:r>
      <w:r>
        <w:t xml:space="preserve"> </w:t>
      </w:r>
      <w:r>
        <w:rPr>
          <w:i/>
          <w:iCs/>
        </w:rPr>
        <w:t xml:space="preserve">Biol. Conserv.</w:t>
      </w:r>
      <w:r>
        <w:t xml:space="preserve"> </w:t>
      </w:r>
      <w:r>
        <w:t xml:space="preserve">142 (10): 2282–92.</w:t>
      </w:r>
      <w:r>
        <w:t xml:space="preserve"> </w:t>
      </w:r>
      <w:hyperlink r:id="rId100">
        <w:r>
          <w:rPr>
            <w:rStyle w:val="Hyperlink"/>
          </w:rPr>
          <w:t xml:space="preserve">https://doi.org/10.1016/j.biocon.2009.05.006</w:t>
        </w:r>
      </w:hyperlink>
      <w:r>
        <w:t xml:space="preserve">.</w:t>
      </w:r>
    </w:p>
    <w:bookmarkEnd w:id="101"/>
    <w:bookmarkStart w:id="103" w:name="ref-sullivan2002"/>
    <w:p>
      <w:pPr>
        <w:pStyle w:val="Bibliography"/>
      </w:pPr>
      <w:r>
        <w:t xml:space="preserve">Sullivan, Terrance M., Robert W. Butler, and W. Sean Boyd. 2002.</w:t>
      </w:r>
      <w:r>
        <w:t xml:space="preserve"> </w:t>
      </w:r>
      <w:r>
        <w:t xml:space="preserve">“Seasonal Distribution of Waterbirds in Relation to Spawning Pacific Herring, Clupea Pallasi, in the Strait of Georgia, British Columbia.”</w:t>
      </w:r>
      <w:r>
        <w:t xml:space="preserve"> </w:t>
      </w:r>
      <w:r>
        <w:rPr>
          <w:i/>
          <w:iCs/>
        </w:rPr>
        <w:t xml:space="preserve">Can. Field-Nat.</w:t>
      </w:r>
      <w:r>
        <w:t xml:space="preserve"> </w:t>
      </w:r>
      <w:r>
        <w:t xml:space="preserve">116 (3): 366–70.</w:t>
      </w:r>
      <w:r>
        <w:t xml:space="preserve"> </w:t>
      </w:r>
      <w:hyperlink r:id="rId102">
        <w:r>
          <w:rPr>
            <w:rStyle w:val="Hyperlink"/>
          </w:rPr>
          <w:t xml:space="preserve">https://doi.org/10.5962/p.363475</w:t>
        </w:r>
      </w:hyperlink>
      <w:r>
        <w:t xml:space="preserve">.</w:t>
      </w:r>
    </w:p>
    <w:bookmarkEnd w:id="103"/>
    <w:bookmarkStart w:id="105" w:name="ref-wing2018"/>
    <w:p>
      <w:pPr>
        <w:pStyle w:val="Bibliography"/>
      </w:pPr>
      <w:r>
        <w:t xml:space="preserve">Wing, Coady, Kosali Simon, and Ricardo A. Bello-Gomez. 2018.</w:t>
      </w:r>
      <w:r>
        <w:t xml:space="preserve"> </w:t>
      </w:r>
      <w:r>
        <w:t xml:space="preserve">“Designing Difference in Difference Studies: Best Practices for Public Health Policy Research.”</w:t>
      </w:r>
      <w:r>
        <w:t xml:space="preserve"> </w:t>
      </w:r>
      <w:r>
        <w:rPr>
          <w:i/>
          <w:iCs/>
        </w:rPr>
        <w:t xml:space="preserve">Annu. Rev. Public Health</w:t>
      </w:r>
      <w:r>
        <w:t xml:space="preserve"> </w:t>
      </w:r>
      <w:r>
        <w:t xml:space="preserve">39: 453–69.</w:t>
      </w:r>
      <w:r>
        <w:t xml:space="preserve"> </w:t>
      </w:r>
      <w:hyperlink r:id="rId104">
        <w:r>
          <w:rPr>
            <w:rStyle w:val="Hyperlink"/>
          </w:rPr>
          <w:t xml:space="preserve">https://doi.org/10.1146/annurev-publhealth-040617-013507</w:t>
        </w:r>
      </w:hyperlink>
      <w:r>
        <w:t xml:space="preserve">.</w:t>
      </w:r>
    </w:p>
    <w:bookmarkEnd w:id="105"/>
    <w:bookmarkEnd w:id="106"/>
    <w:bookmarkEnd w:id="1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pacing w:val="-10"/>
      <w:kern w:val="28"/>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ascii="Times New Roman" w:cs="Times New Roman" w:eastAsia="Times New Roman" w:hAnsi="Times New Roman"/>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ascii="Times New Roman" w:cs="Times New Roman" w:eastAsia="Times New Roman" w:hAnsi="Times New Roman"/>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Times New Roman" w:hAnsi="Times New Roman"/>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Times New Roman" w:hAnsi="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Times New Roman"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eastAsia="Times New Roman"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eastAsia="Times New Roman"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eastAsia="Times New Roman"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eastAsia="Times New Roman"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eastAsia="Times New Roman" w:hAnsi="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cs="Times New Roman" w:eastAsia="Times New Roman"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cs="Times New Roman" w:eastAsia="Times New Roman" w:hAnsi="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cs="Times New Roman" w:eastAsia="Times New Roman" w:hAnsi="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cs="Times New Roman" w:eastAsia="Times New Roman" w:hAnsi="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cs="Times New Roman" w:eastAsia="Times New Roman" w:hAnsi="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cs="Times New Roman" w:eastAsia="Times New Roman" w:hAnsi="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cs="Times New Roman" w:eastAsia="Times New Roman" w:hAnsi="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hyperlink" Id="rId62" Target="https://doi.org/10.1016/j.baae.2017.01.005" TargetMode="External" /><Relationship Type="http://schemas.openxmlformats.org/officeDocument/2006/relationships/hyperlink" Id="rId100" Target="https://doi.org/10.1016/j.biocon.2009.05.006" TargetMode="External" /><Relationship Type="http://schemas.openxmlformats.org/officeDocument/2006/relationships/hyperlink" Id="rId98" Target="https://doi.org/10.1016/j.jeconom.2023.03.008" TargetMode="External" /><Relationship Type="http://schemas.openxmlformats.org/officeDocument/2006/relationships/hyperlink" Id="rId82" Target="https://doi.org/10.1093/biosci/biz010" TargetMode="External" /><Relationship Type="http://schemas.openxmlformats.org/officeDocument/2006/relationships/hyperlink" Id="rId88" Target="https://doi.org/10.1093/condor/109.1.216" TargetMode="External" /><Relationship Type="http://schemas.openxmlformats.org/officeDocument/2006/relationships/hyperlink" Id="rId76" Target="https://doi.org/10.1093/icesjms/fsp139" TargetMode="External" /><Relationship Type="http://schemas.openxmlformats.org/officeDocument/2006/relationships/hyperlink" Id="rId78" Target="https://doi.org/10.1111/2041-210X.12838" TargetMode="External" /><Relationship Type="http://schemas.openxmlformats.org/officeDocument/2006/relationships/hyperlink" Id="rId86" Target="https://doi.org/10.1111/2041-210X.13190" TargetMode="External" /><Relationship Type="http://schemas.openxmlformats.org/officeDocument/2006/relationships/hyperlink" Id="rId80" Target="https://doi.org/10.1111/ddi.13271" TargetMode="External" /><Relationship Type="http://schemas.openxmlformats.org/officeDocument/2006/relationships/hyperlink" Id="rId60" Target="https://doi.org/10.1111/j.2517-6161.1995.tb02031.x" TargetMode="External" /><Relationship Type="http://schemas.openxmlformats.org/officeDocument/2006/relationships/hyperlink" Id="rId72" Target="https://doi.org/10.1139/f85-261" TargetMode="External" /><Relationship Type="http://schemas.openxmlformats.org/officeDocument/2006/relationships/hyperlink" Id="rId74" Target="https://doi.org/10.1139/f87-141" TargetMode="External" /><Relationship Type="http://schemas.openxmlformats.org/officeDocument/2006/relationships/hyperlink" Id="rId94" Target="https://doi.org/10.1139/z03-032" TargetMode="External" /><Relationship Type="http://schemas.openxmlformats.org/officeDocument/2006/relationships/hyperlink" Id="rId104" Target="https://doi.org/10.1146/annurev-publhealth-040617-013507" TargetMode="External" /><Relationship Type="http://schemas.openxmlformats.org/officeDocument/2006/relationships/hyperlink" Id="rId92" Target="https://doi.org/10.1675/1524-4695-31.3.385" TargetMode="External" /><Relationship Type="http://schemas.openxmlformats.org/officeDocument/2006/relationships/hyperlink" Id="rId58" Target="https://doi.org/10.18637/jss.v067.i01" TargetMode="External" /><Relationship Type="http://schemas.openxmlformats.org/officeDocument/2006/relationships/hyperlink" Id="rId90" Target="https://doi.org/10.3354/meps09692" TargetMode="External" /><Relationship Type="http://schemas.openxmlformats.org/officeDocument/2006/relationships/hyperlink" Id="rId84" Target="https://doi.org/10.3354/meps12594" TargetMode="External" /><Relationship Type="http://schemas.openxmlformats.org/officeDocument/2006/relationships/hyperlink" Id="rId96" Target="https://doi.org/10.3354/meps14274" TargetMode="External" /><Relationship Type="http://schemas.openxmlformats.org/officeDocument/2006/relationships/hyperlink" Id="rId70" Target="https://doi.org/10.5962/p.357075" TargetMode="External" /><Relationship Type="http://schemas.openxmlformats.org/officeDocument/2006/relationships/hyperlink" Id="rId102" Target="https://doi.org/10.5962/p.363475" TargetMode="External" /><Relationship Type="http://schemas.openxmlformats.org/officeDocument/2006/relationships/hyperlink" Id="rId66" Target="https://open.canada.ca/data/en/dataset/d892511c-d851-4f85-a0ec-708bc05d2810" TargetMode="External" /><Relationship Type="http://schemas.openxmlformats.org/officeDocument/2006/relationships/hyperlink" Id="rId68" Target="https://publications.gc.ca/site/eng/9.912189/publication.html" TargetMode="External" /><Relationship Type="http://schemas.openxmlformats.org/officeDocument/2006/relationships/hyperlink" Id="rId64" Target="https://support.ebird.org/en/support/solutions/articles/48000838205-download-ebird-data" TargetMode="External" /></Relationships>
</file>

<file path=word/_rels/footnotes.xml.rels><?xml version="1.0" encoding="UTF-8"?><Relationships xmlns="http://schemas.openxmlformats.org/package/2006/relationships"><Relationship Type="http://schemas.openxmlformats.org/officeDocument/2006/relationships/hyperlink" Id="rId62" Target="https://doi.org/10.1016/j.baae.2017.01.005" TargetMode="External" /><Relationship Type="http://schemas.openxmlformats.org/officeDocument/2006/relationships/hyperlink" Id="rId100" Target="https://doi.org/10.1016/j.biocon.2009.05.006" TargetMode="External" /><Relationship Type="http://schemas.openxmlformats.org/officeDocument/2006/relationships/hyperlink" Id="rId98" Target="https://doi.org/10.1016/j.jeconom.2023.03.008" TargetMode="External" /><Relationship Type="http://schemas.openxmlformats.org/officeDocument/2006/relationships/hyperlink" Id="rId82" Target="https://doi.org/10.1093/biosci/biz010" TargetMode="External" /><Relationship Type="http://schemas.openxmlformats.org/officeDocument/2006/relationships/hyperlink" Id="rId88" Target="https://doi.org/10.1093/condor/109.1.216" TargetMode="External" /><Relationship Type="http://schemas.openxmlformats.org/officeDocument/2006/relationships/hyperlink" Id="rId76" Target="https://doi.org/10.1093/icesjms/fsp139" TargetMode="External" /><Relationship Type="http://schemas.openxmlformats.org/officeDocument/2006/relationships/hyperlink" Id="rId78" Target="https://doi.org/10.1111/2041-210X.12838" TargetMode="External" /><Relationship Type="http://schemas.openxmlformats.org/officeDocument/2006/relationships/hyperlink" Id="rId86" Target="https://doi.org/10.1111/2041-210X.13190" TargetMode="External" /><Relationship Type="http://schemas.openxmlformats.org/officeDocument/2006/relationships/hyperlink" Id="rId80" Target="https://doi.org/10.1111/ddi.13271" TargetMode="External" /><Relationship Type="http://schemas.openxmlformats.org/officeDocument/2006/relationships/hyperlink" Id="rId60" Target="https://doi.org/10.1111/j.2517-6161.1995.tb02031.x" TargetMode="External" /><Relationship Type="http://schemas.openxmlformats.org/officeDocument/2006/relationships/hyperlink" Id="rId72" Target="https://doi.org/10.1139/f85-261" TargetMode="External" /><Relationship Type="http://schemas.openxmlformats.org/officeDocument/2006/relationships/hyperlink" Id="rId74" Target="https://doi.org/10.1139/f87-141" TargetMode="External" /><Relationship Type="http://schemas.openxmlformats.org/officeDocument/2006/relationships/hyperlink" Id="rId94" Target="https://doi.org/10.1139/z03-032" TargetMode="External" /><Relationship Type="http://schemas.openxmlformats.org/officeDocument/2006/relationships/hyperlink" Id="rId104" Target="https://doi.org/10.1146/annurev-publhealth-040617-013507" TargetMode="External" /><Relationship Type="http://schemas.openxmlformats.org/officeDocument/2006/relationships/hyperlink" Id="rId92" Target="https://doi.org/10.1675/1524-4695-31.3.385" TargetMode="External" /><Relationship Type="http://schemas.openxmlformats.org/officeDocument/2006/relationships/hyperlink" Id="rId58" Target="https://doi.org/10.18637/jss.v067.i01" TargetMode="External" /><Relationship Type="http://schemas.openxmlformats.org/officeDocument/2006/relationships/hyperlink" Id="rId90" Target="https://doi.org/10.3354/meps09692" TargetMode="External" /><Relationship Type="http://schemas.openxmlformats.org/officeDocument/2006/relationships/hyperlink" Id="rId84" Target="https://doi.org/10.3354/meps12594" TargetMode="External" /><Relationship Type="http://schemas.openxmlformats.org/officeDocument/2006/relationships/hyperlink" Id="rId96" Target="https://doi.org/10.3354/meps14274" TargetMode="External" /><Relationship Type="http://schemas.openxmlformats.org/officeDocument/2006/relationships/hyperlink" Id="rId70" Target="https://doi.org/10.5962/p.357075" TargetMode="External" /><Relationship Type="http://schemas.openxmlformats.org/officeDocument/2006/relationships/hyperlink" Id="rId102" Target="https://doi.org/10.5962/p.363475" TargetMode="External" /><Relationship Type="http://schemas.openxmlformats.org/officeDocument/2006/relationships/hyperlink" Id="rId66" Target="https://open.canada.ca/data/en/dataset/d892511c-d851-4f85-a0ec-708bc05d2810" TargetMode="External" /><Relationship Type="http://schemas.openxmlformats.org/officeDocument/2006/relationships/hyperlink" Id="rId68" Target="https://publications.gc.ca/site/eng/9.912189/publication.html" TargetMode="External" /><Relationship Type="http://schemas.openxmlformats.org/officeDocument/2006/relationships/hyperlink" Id="rId64" Target="https://support.ebird.org/en/support/solutions/articles/48000838205-download-ebird-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font script="Armn" typeface="Times New Roman"/>
        <a:font script="Bugi" typeface="Times New Roman"/>
        <a:font script="Bopo" typeface="Times New Roman"/>
        <a:font script="Java" typeface="Times New Roman"/>
        <a:font script="Lisu" typeface="Times New Roman"/>
        <a:font script="Mymr" typeface="Times New Roman"/>
        <a:font script="Nkoo" typeface="Times New Roman"/>
        <a:font script="Olck" typeface="Times New Roman"/>
        <a:font script="Osma" typeface="Times New Roman"/>
        <a:font script="Phag" typeface="Times New Roman"/>
        <a:font script="Syrn" typeface="Times New Roman"/>
        <a:font script="Syrj" typeface="Times New Roman"/>
        <a:font script="Syre" typeface="Times New Roman"/>
        <a:font script="Sora" typeface="Times New Roman"/>
        <a:font script="Tale" typeface="Times New Roman"/>
        <a:font script="Talu" typeface="Times New Roman"/>
        <a:font script="Tfng" typeface="Times New Roman"/>
      </a:majorFont>
      <a:minorFont>
        <a:latin typeface="Times New Roman" panose="02110004020202020204"/>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font script="Armn" typeface="Times New Roman"/>
        <a:font script="Bugi" typeface="Times New Roman"/>
        <a:font script="Bopo" typeface="Times New Roman"/>
        <a:font script="Java" typeface="Times New Roman"/>
        <a:font script="Lisu" typeface="Times New Roman"/>
        <a:font script="Mymr" typeface="Times New Roman"/>
        <a:font script="Nkoo" typeface="Times New Roman"/>
        <a:font script="Olck" typeface="Times New Roman"/>
        <a:font script="Osma" typeface="Times New Roman"/>
        <a:font script="Phag" typeface="Times New Roman"/>
        <a:font script="Syrn" typeface="Times New Roman"/>
        <a:font script="Syrj" typeface="Times New Roman"/>
        <a:font script="Syre" typeface="Times New Roman"/>
        <a:font script="Sora" typeface="Times New Roman"/>
        <a:font script="Tale" typeface="Times New Roman"/>
        <a:font script="Talu" typeface="Times New Roman"/>
        <a:font script="Tfng" typeface="Times New Roma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Coastal-bird responses through Pacific herring spawning in the Strait of Georgia</dc:title>
  <dc:creator>Jacob T. Dingwall</dc:creator>
  <dc:language>en</dc:language>
  <cp:keywords/>
  <dcterms:created xsi:type="dcterms:W3CDTF">2026-07-23T22:54:02Z</dcterms:created>
  <dcterms:modified xsi:type="dcterms:W3CDTF">2026-07-23T22:54:02Z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mer_references_v7.bib</vt:lpwstr>
  </property>
  <property fmtid="{D5CDD505-2E9C-101B-9397-08002B2CF9AE}" pid="5" name="by-author">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link-citations">
    <vt:lpwstr>True</vt:lpwstr>
  </property>
  <property fmtid="{D5CDD505-2E9C-101B-9397-08002B2CF9AE}" pid="12" name="subtitle">
    <vt:lpwstr>Full-length Article</vt:lpwstr>
  </property>
  <property fmtid="{D5CDD505-2E9C-101B-9397-08002B2CF9AE}" pid="13" name="toc-title">
    <vt:lpwstr>Table of contents</vt:lpwstr>
  </property>
</Properties>
</file>