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All 49 support-qualified species are shown, independent of prior literature.</w:t>
      </w:r>
    </w:p>
    <w:p>
      <w:pPr>
        <w:pStyle w:val="Compact"/>
        <w:numPr>
          <w:ilvl w:val="0"/>
          <w:numId w:val="1001"/>
        </w:numPr>
      </w:pPr>
      <w:r>
        <w:t xml:space="preserve">Common shore and sea birds had positive, negative, and mixed associations.</w:t>
      </w:r>
    </w:p>
    <w:p>
      <w:pPr>
        <w:pStyle w:val="Compact"/>
        <w:numPr>
          <w:ilvl w:val="0"/>
          <w:numId w:val="1001"/>
        </w:numPr>
      </w:pPr>
      <w:r>
        <w:t xml:space="preserve">Event timing did not follow one community-wide resource-pulse trajectory.</w:t>
      </w:r>
    </w:p>
    <w:p>
      <w:pPr>
        <w:pStyle w:val="Compact"/>
        <w:numPr>
          <w:ilvl w:val="0"/>
          <w:numId w:val="1001"/>
        </w:numPr>
      </w:pPr>
      <w:r>
        <w:t xml:space="preserve">Matched WCVI sensitivities preserved 15 of 16 coefficient directions.</w:t>
      </w:r>
    </w:p>
    <w:p>
      <w:pPr>
        <w:pStyle w:val="Compact"/>
        <w:numPr>
          <w:ilvl w:val="0"/>
          <w:numId w:val="1001"/>
        </w:numPr>
      </w:pPr>
      <w:r>
        <w:t xml:space="preserve">A non-null specificity panel limits simple taxon-specific interpretation.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2026-07-22T21:34:36Z</dcterms:created>
  <dcterms:modified xsi:type="dcterms:W3CDTF">2026-07-22T21:34:36Z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