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2BB2E" w14:textId="77777777" w:rsidR="00E94176" w:rsidRDefault="004355FC">
      <w:pPr>
        <w:pStyle w:val="Title"/>
      </w:pPr>
      <w:r>
        <w:t>Supplementary material: Spatiotemporal associations between coastal birds and Pacific herring spawning in British Columbia</w:t>
      </w:r>
    </w:p>
    <w:p w14:paraId="54F3BF62" w14:textId="77777777" w:rsidR="00E94176" w:rsidRDefault="004355FC">
      <w:pPr>
        <w:pStyle w:val="Subtitle"/>
      </w:pPr>
      <w:r>
        <w:t>Full-length Article; Stage 4A v2 analysis freeze</w:t>
      </w:r>
    </w:p>
    <w:p w14:paraId="2601ED1E" w14:textId="77777777" w:rsidR="00E94176" w:rsidRDefault="004355FC">
      <w:pPr>
        <w:pStyle w:val="Author"/>
      </w:pPr>
      <w:r>
        <w:t>[Blinded for review]</w:t>
      </w:r>
    </w:p>
    <w:sdt>
      <w:sdtPr>
        <w:rPr>
          <w:rFonts w:asciiTheme="minorHAnsi" w:eastAsiaTheme="minorHAnsi" w:hAnsiTheme="minorHAnsi" w:cstheme="minorBidi"/>
          <w:color w:val="auto"/>
          <w:sz w:val="24"/>
          <w:szCs w:val="24"/>
        </w:rPr>
        <w:id w:val="620883423"/>
        <w:docPartObj>
          <w:docPartGallery w:val="Table of Contents"/>
          <w:docPartUnique/>
        </w:docPartObj>
      </w:sdtPr>
      <w:sdtEndPr/>
      <w:sdtContent>
        <w:p w14:paraId="32F25B8F" w14:textId="77777777" w:rsidR="00E94176" w:rsidRDefault="004355FC">
          <w:pPr>
            <w:pStyle w:val="TOCHeading"/>
          </w:pPr>
          <w:r>
            <w:t>Table of contents</w:t>
          </w:r>
        </w:p>
        <w:p w14:paraId="16AF579E" w14:textId="77777777" w:rsidR="009559D5" w:rsidRDefault="004355FC">
          <w:pPr>
            <w:pStyle w:val="TOC1"/>
            <w:tabs>
              <w:tab w:val="right" w:leader="dot" w:pos="9350"/>
            </w:tabs>
            <w:rPr>
              <w:noProof/>
            </w:rPr>
          </w:pPr>
          <w:r>
            <w:fldChar w:fldCharType="begin"/>
          </w:r>
          <w:r>
            <w:instrText>TOC \o "1-3" \h \z \u</w:instrText>
          </w:r>
          <w:r>
            <w:fldChar w:fldCharType="separate"/>
          </w:r>
          <w:hyperlink w:anchor="_Toc235623306" w:history="1">
            <w:r w:rsidR="009559D5" w:rsidRPr="00CF181B">
              <w:rPr>
                <w:rStyle w:val="Hyperlink"/>
                <w:noProof/>
              </w:rPr>
              <w:t>1. Supplement scope</w:t>
            </w:r>
            <w:r w:rsidR="009559D5">
              <w:rPr>
                <w:noProof/>
                <w:webHidden/>
              </w:rPr>
              <w:tab/>
            </w:r>
            <w:r w:rsidR="009559D5">
              <w:rPr>
                <w:noProof/>
                <w:webHidden/>
              </w:rPr>
              <w:fldChar w:fldCharType="begin"/>
            </w:r>
            <w:r w:rsidR="009559D5">
              <w:rPr>
                <w:noProof/>
                <w:webHidden/>
              </w:rPr>
              <w:instrText xml:space="preserve"> PAGEREF _Toc235623306 \h </w:instrText>
            </w:r>
            <w:r w:rsidR="009559D5">
              <w:rPr>
                <w:noProof/>
                <w:webHidden/>
              </w:rPr>
            </w:r>
            <w:r w:rsidR="009559D5">
              <w:rPr>
                <w:noProof/>
                <w:webHidden/>
              </w:rPr>
              <w:fldChar w:fldCharType="separate"/>
            </w:r>
            <w:r w:rsidR="009559D5">
              <w:rPr>
                <w:noProof/>
                <w:webHidden/>
              </w:rPr>
              <w:t>1</w:t>
            </w:r>
            <w:r w:rsidR="009559D5">
              <w:rPr>
                <w:noProof/>
                <w:webHidden/>
              </w:rPr>
              <w:fldChar w:fldCharType="end"/>
            </w:r>
          </w:hyperlink>
        </w:p>
        <w:p w14:paraId="5FC0F3A1" w14:textId="77777777" w:rsidR="009559D5" w:rsidRDefault="009559D5">
          <w:pPr>
            <w:pStyle w:val="TOC1"/>
            <w:tabs>
              <w:tab w:val="right" w:leader="dot" w:pos="9350"/>
            </w:tabs>
            <w:rPr>
              <w:noProof/>
            </w:rPr>
          </w:pPr>
          <w:hyperlink w:anchor="_Toc235623307" w:history="1">
            <w:r w:rsidRPr="00CF181B">
              <w:rPr>
                <w:rStyle w:val="Hyperlink"/>
                <w:noProof/>
              </w:rPr>
              <w:t>2. Registered analysis and model disposition</w:t>
            </w:r>
            <w:r>
              <w:rPr>
                <w:noProof/>
                <w:webHidden/>
              </w:rPr>
              <w:tab/>
            </w:r>
            <w:r>
              <w:rPr>
                <w:noProof/>
                <w:webHidden/>
              </w:rPr>
              <w:fldChar w:fldCharType="begin"/>
            </w:r>
            <w:r>
              <w:rPr>
                <w:noProof/>
                <w:webHidden/>
              </w:rPr>
              <w:instrText xml:space="preserve"> PAGEREF _Toc235623307 \h </w:instrText>
            </w:r>
            <w:r>
              <w:rPr>
                <w:noProof/>
                <w:webHidden/>
              </w:rPr>
            </w:r>
            <w:r>
              <w:rPr>
                <w:noProof/>
                <w:webHidden/>
              </w:rPr>
              <w:fldChar w:fldCharType="separate"/>
            </w:r>
            <w:r>
              <w:rPr>
                <w:noProof/>
                <w:webHidden/>
              </w:rPr>
              <w:t>2</w:t>
            </w:r>
            <w:r>
              <w:rPr>
                <w:noProof/>
                <w:webHidden/>
              </w:rPr>
              <w:fldChar w:fldCharType="end"/>
            </w:r>
          </w:hyperlink>
        </w:p>
        <w:p w14:paraId="084F6047" w14:textId="77777777" w:rsidR="009559D5" w:rsidRDefault="009559D5">
          <w:pPr>
            <w:pStyle w:val="TOC1"/>
            <w:tabs>
              <w:tab w:val="right" w:leader="dot" w:pos="9350"/>
            </w:tabs>
            <w:rPr>
              <w:noProof/>
            </w:rPr>
          </w:pPr>
          <w:hyperlink w:anchor="_Toc235623308" w:history="1">
            <w:r w:rsidRPr="00CF181B">
              <w:rPr>
                <w:rStyle w:val="Hyperlink"/>
                <w:noProof/>
              </w:rPr>
              <w:t>3. Response construction and observation states</w:t>
            </w:r>
            <w:r>
              <w:rPr>
                <w:noProof/>
                <w:webHidden/>
              </w:rPr>
              <w:tab/>
            </w:r>
            <w:r>
              <w:rPr>
                <w:noProof/>
                <w:webHidden/>
              </w:rPr>
              <w:fldChar w:fldCharType="begin"/>
            </w:r>
            <w:r>
              <w:rPr>
                <w:noProof/>
                <w:webHidden/>
              </w:rPr>
              <w:instrText xml:space="preserve"> PAGEREF _Toc235623308 \h </w:instrText>
            </w:r>
            <w:r>
              <w:rPr>
                <w:noProof/>
                <w:webHidden/>
              </w:rPr>
            </w:r>
            <w:r>
              <w:rPr>
                <w:noProof/>
                <w:webHidden/>
              </w:rPr>
              <w:fldChar w:fldCharType="separate"/>
            </w:r>
            <w:r>
              <w:rPr>
                <w:noProof/>
                <w:webHidden/>
              </w:rPr>
              <w:t>2</w:t>
            </w:r>
            <w:r>
              <w:rPr>
                <w:noProof/>
                <w:webHidden/>
              </w:rPr>
              <w:fldChar w:fldCharType="end"/>
            </w:r>
          </w:hyperlink>
        </w:p>
        <w:p w14:paraId="682D2FC6" w14:textId="77777777" w:rsidR="009559D5" w:rsidRDefault="009559D5">
          <w:pPr>
            <w:pStyle w:val="TOC1"/>
            <w:tabs>
              <w:tab w:val="right" w:leader="dot" w:pos="9350"/>
            </w:tabs>
            <w:rPr>
              <w:noProof/>
            </w:rPr>
          </w:pPr>
          <w:hyperlink w:anchor="_Toc235623309" w:history="1">
            <w:r w:rsidRPr="00CF181B">
              <w:rPr>
                <w:rStyle w:val="Hyperlink"/>
                <w:noProof/>
              </w:rPr>
              <w:t>4. Event-time results</w:t>
            </w:r>
            <w:r>
              <w:rPr>
                <w:noProof/>
                <w:webHidden/>
              </w:rPr>
              <w:tab/>
            </w:r>
            <w:r>
              <w:rPr>
                <w:noProof/>
                <w:webHidden/>
              </w:rPr>
              <w:fldChar w:fldCharType="begin"/>
            </w:r>
            <w:r>
              <w:rPr>
                <w:noProof/>
                <w:webHidden/>
              </w:rPr>
              <w:instrText xml:space="preserve"> PAGEREF _Toc235623309 \h </w:instrText>
            </w:r>
            <w:r>
              <w:rPr>
                <w:noProof/>
                <w:webHidden/>
              </w:rPr>
            </w:r>
            <w:r>
              <w:rPr>
                <w:noProof/>
                <w:webHidden/>
              </w:rPr>
              <w:fldChar w:fldCharType="separate"/>
            </w:r>
            <w:r>
              <w:rPr>
                <w:noProof/>
                <w:webHidden/>
              </w:rPr>
              <w:t>2</w:t>
            </w:r>
            <w:r>
              <w:rPr>
                <w:noProof/>
                <w:webHidden/>
              </w:rPr>
              <w:fldChar w:fldCharType="end"/>
            </w:r>
          </w:hyperlink>
        </w:p>
        <w:p w14:paraId="288EB0AC" w14:textId="77777777" w:rsidR="009559D5" w:rsidRDefault="009559D5">
          <w:pPr>
            <w:pStyle w:val="TOC1"/>
            <w:tabs>
              <w:tab w:val="right" w:leader="dot" w:pos="9350"/>
            </w:tabs>
            <w:rPr>
              <w:noProof/>
            </w:rPr>
          </w:pPr>
          <w:hyperlink w:anchor="_Toc235623310" w:history="1">
            <w:r w:rsidRPr="00CF181B">
              <w:rPr>
                <w:rStyle w:val="Hyperlink"/>
                <w:noProof/>
              </w:rPr>
              <w:t>5. Partial-pooling repair</w:t>
            </w:r>
            <w:r>
              <w:rPr>
                <w:noProof/>
                <w:webHidden/>
              </w:rPr>
              <w:tab/>
            </w:r>
            <w:r>
              <w:rPr>
                <w:noProof/>
                <w:webHidden/>
              </w:rPr>
              <w:fldChar w:fldCharType="begin"/>
            </w:r>
            <w:r>
              <w:rPr>
                <w:noProof/>
                <w:webHidden/>
              </w:rPr>
              <w:instrText xml:space="preserve"> PAGEREF _Toc235623310 \h </w:instrText>
            </w:r>
            <w:r>
              <w:rPr>
                <w:noProof/>
                <w:webHidden/>
              </w:rPr>
            </w:r>
            <w:r>
              <w:rPr>
                <w:noProof/>
                <w:webHidden/>
              </w:rPr>
              <w:fldChar w:fldCharType="separate"/>
            </w:r>
            <w:r>
              <w:rPr>
                <w:noProof/>
                <w:webHidden/>
              </w:rPr>
              <w:t>4</w:t>
            </w:r>
            <w:r>
              <w:rPr>
                <w:noProof/>
                <w:webHidden/>
              </w:rPr>
              <w:fldChar w:fldCharType="end"/>
            </w:r>
          </w:hyperlink>
        </w:p>
        <w:p w14:paraId="051C85FD" w14:textId="77777777" w:rsidR="009559D5" w:rsidRDefault="009559D5">
          <w:pPr>
            <w:pStyle w:val="TOC1"/>
            <w:tabs>
              <w:tab w:val="right" w:leader="dot" w:pos="9350"/>
            </w:tabs>
            <w:rPr>
              <w:noProof/>
            </w:rPr>
          </w:pPr>
          <w:hyperlink w:anchor="_Toc235623311" w:history="1">
            <w:r w:rsidRPr="00CF181B">
              <w:rPr>
                <w:rStyle w:val="Hyperlink"/>
                <w:noProof/>
              </w:rPr>
              <w:t>6. Singular-fit component audit</w:t>
            </w:r>
            <w:r>
              <w:rPr>
                <w:noProof/>
                <w:webHidden/>
              </w:rPr>
              <w:tab/>
            </w:r>
            <w:r>
              <w:rPr>
                <w:noProof/>
                <w:webHidden/>
              </w:rPr>
              <w:fldChar w:fldCharType="begin"/>
            </w:r>
            <w:r>
              <w:rPr>
                <w:noProof/>
                <w:webHidden/>
              </w:rPr>
              <w:instrText xml:space="preserve"> PAGEREF _Toc235623311 \h </w:instrText>
            </w:r>
            <w:r>
              <w:rPr>
                <w:noProof/>
                <w:webHidden/>
              </w:rPr>
            </w:r>
            <w:r>
              <w:rPr>
                <w:noProof/>
                <w:webHidden/>
              </w:rPr>
              <w:fldChar w:fldCharType="separate"/>
            </w:r>
            <w:r>
              <w:rPr>
                <w:noProof/>
                <w:webHidden/>
              </w:rPr>
              <w:t>5</w:t>
            </w:r>
            <w:r>
              <w:rPr>
                <w:noProof/>
                <w:webHidden/>
              </w:rPr>
              <w:fldChar w:fldCharType="end"/>
            </w:r>
          </w:hyperlink>
        </w:p>
        <w:p w14:paraId="324CE3AC" w14:textId="77777777" w:rsidR="009559D5" w:rsidRDefault="009559D5">
          <w:pPr>
            <w:pStyle w:val="TOC1"/>
            <w:tabs>
              <w:tab w:val="right" w:leader="dot" w:pos="9350"/>
            </w:tabs>
            <w:rPr>
              <w:noProof/>
            </w:rPr>
          </w:pPr>
          <w:hyperlink w:anchor="_Toc235623312" w:history="1">
            <w:r w:rsidRPr="00CF181B">
              <w:rPr>
                <w:rStyle w:val="Hyperlink"/>
                <w:noProof/>
              </w:rPr>
              <w:t>7. Placebo and matched sensitivity details</w:t>
            </w:r>
            <w:r>
              <w:rPr>
                <w:noProof/>
                <w:webHidden/>
              </w:rPr>
              <w:tab/>
            </w:r>
            <w:r>
              <w:rPr>
                <w:noProof/>
                <w:webHidden/>
              </w:rPr>
              <w:fldChar w:fldCharType="begin"/>
            </w:r>
            <w:r>
              <w:rPr>
                <w:noProof/>
                <w:webHidden/>
              </w:rPr>
              <w:instrText xml:space="preserve"> PAGEREF _Toc235623312 \h </w:instrText>
            </w:r>
            <w:r>
              <w:rPr>
                <w:noProof/>
                <w:webHidden/>
              </w:rPr>
            </w:r>
            <w:r>
              <w:rPr>
                <w:noProof/>
                <w:webHidden/>
              </w:rPr>
              <w:fldChar w:fldCharType="separate"/>
            </w:r>
            <w:r>
              <w:rPr>
                <w:noProof/>
                <w:webHidden/>
              </w:rPr>
              <w:t>6</w:t>
            </w:r>
            <w:r>
              <w:rPr>
                <w:noProof/>
                <w:webHidden/>
              </w:rPr>
              <w:fldChar w:fldCharType="end"/>
            </w:r>
          </w:hyperlink>
        </w:p>
        <w:p w14:paraId="4AC71021" w14:textId="77777777" w:rsidR="009559D5" w:rsidRDefault="009559D5">
          <w:pPr>
            <w:pStyle w:val="TOC1"/>
            <w:tabs>
              <w:tab w:val="right" w:leader="dot" w:pos="9350"/>
            </w:tabs>
            <w:rPr>
              <w:noProof/>
            </w:rPr>
          </w:pPr>
          <w:hyperlink w:anchor="_Toc235623313" w:history="1">
            <w:r w:rsidRPr="00CF181B">
              <w:rPr>
                <w:rStyle w:val="Hyperlink"/>
                <w:noProof/>
              </w:rPr>
              <w:t>8. Strait of Georgia specificity/falsification audit</w:t>
            </w:r>
            <w:r>
              <w:rPr>
                <w:noProof/>
                <w:webHidden/>
              </w:rPr>
              <w:tab/>
            </w:r>
            <w:r>
              <w:rPr>
                <w:noProof/>
                <w:webHidden/>
              </w:rPr>
              <w:fldChar w:fldCharType="begin"/>
            </w:r>
            <w:r>
              <w:rPr>
                <w:noProof/>
                <w:webHidden/>
              </w:rPr>
              <w:instrText xml:space="preserve"> PAGEREF _Toc235623313 \h </w:instrText>
            </w:r>
            <w:r>
              <w:rPr>
                <w:noProof/>
                <w:webHidden/>
              </w:rPr>
            </w:r>
            <w:r>
              <w:rPr>
                <w:noProof/>
                <w:webHidden/>
              </w:rPr>
              <w:fldChar w:fldCharType="separate"/>
            </w:r>
            <w:r>
              <w:rPr>
                <w:noProof/>
                <w:webHidden/>
              </w:rPr>
              <w:t>7</w:t>
            </w:r>
            <w:r>
              <w:rPr>
                <w:noProof/>
                <w:webHidden/>
              </w:rPr>
              <w:fldChar w:fldCharType="end"/>
            </w:r>
          </w:hyperlink>
        </w:p>
        <w:p w14:paraId="51C2A93D" w14:textId="77777777" w:rsidR="009559D5" w:rsidRDefault="009559D5">
          <w:pPr>
            <w:pStyle w:val="TOC1"/>
            <w:tabs>
              <w:tab w:val="right" w:leader="dot" w:pos="9350"/>
            </w:tabs>
            <w:rPr>
              <w:noProof/>
            </w:rPr>
          </w:pPr>
          <w:hyperlink w:anchor="_Toc235623314" w:history="1">
            <w:r w:rsidRPr="00CF181B">
              <w:rPr>
                <w:rStyle w:val="Hyperlink"/>
                <w:noProof/>
              </w:rPr>
              <w:t>9. DFO monitoring, exposure classification, and regional interpretation</w:t>
            </w:r>
            <w:r>
              <w:rPr>
                <w:noProof/>
                <w:webHidden/>
              </w:rPr>
              <w:tab/>
            </w:r>
            <w:r>
              <w:rPr>
                <w:noProof/>
                <w:webHidden/>
              </w:rPr>
              <w:fldChar w:fldCharType="begin"/>
            </w:r>
            <w:r>
              <w:rPr>
                <w:noProof/>
                <w:webHidden/>
              </w:rPr>
              <w:instrText xml:space="preserve"> PAGEREF _Toc235623314 \h </w:instrText>
            </w:r>
            <w:r>
              <w:rPr>
                <w:noProof/>
                <w:webHidden/>
              </w:rPr>
            </w:r>
            <w:r>
              <w:rPr>
                <w:noProof/>
                <w:webHidden/>
              </w:rPr>
              <w:fldChar w:fldCharType="separate"/>
            </w:r>
            <w:r>
              <w:rPr>
                <w:noProof/>
                <w:webHidden/>
              </w:rPr>
              <w:t>8</w:t>
            </w:r>
            <w:r>
              <w:rPr>
                <w:noProof/>
                <w:webHidden/>
              </w:rPr>
              <w:fldChar w:fldCharType="end"/>
            </w:r>
          </w:hyperlink>
        </w:p>
        <w:p w14:paraId="33E36E8A" w14:textId="77777777" w:rsidR="009559D5" w:rsidRDefault="009559D5">
          <w:pPr>
            <w:pStyle w:val="TOC1"/>
            <w:tabs>
              <w:tab w:val="right" w:leader="dot" w:pos="9350"/>
            </w:tabs>
            <w:rPr>
              <w:noProof/>
            </w:rPr>
          </w:pPr>
          <w:hyperlink w:anchor="_Toc235623315" w:history="1">
            <w:r w:rsidRPr="00CF181B">
              <w:rPr>
                <w:rStyle w:val="Hyperlink"/>
                <w:noProof/>
              </w:rPr>
              <w:t>10. Reproducibility, provenance, and artifact hashes</w:t>
            </w:r>
            <w:r>
              <w:rPr>
                <w:noProof/>
                <w:webHidden/>
              </w:rPr>
              <w:tab/>
            </w:r>
            <w:r>
              <w:rPr>
                <w:noProof/>
                <w:webHidden/>
              </w:rPr>
              <w:fldChar w:fldCharType="begin"/>
            </w:r>
            <w:r>
              <w:rPr>
                <w:noProof/>
                <w:webHidden/>
              </w:rPr>
              <w:instrText xml:space="preserve"> PAGEREF _Toc235623315 \h </w:instrText>
            </w:r>
            <w:r>
              <w:rPr>
                <w:noProof/>
                <w:webHidden/>
              </w:rPr>
            </w:r>
            <w:r>
              <w:rPr>
                <w:noProof/>
                <w:webHidden/>
              </w:rPr>
              <w:fldChar w:fldCharType="separate"/>
            </w:r>
            <w:r>
              <w:rPr>
                <w:noProof/>
                <w:webHidden/>
              </w:rPr>
              <w:t>8</w:t>
            </w:r>
            <w:r>
              <w:rPr>
                <w:noProof/>
                <w:webHidden/>
              </w:rPr>
              <w:fldChar w:fldCharType="end"/>
            </w:r>
          </w:hyperlink>
        </w:p>
        <w:p w14:paraId="371474C2" w14:textId="77777777" w:rsidR="009559D5" w:rsidRDefault="009559D5">
          <w:pPr>
            <w:pStyle w:val="TOC1"/>
            <w:tabs>
              <w:tab w:val="right" w:leader="dot" w:pos="9350"/>
            </w:tabs>
            <w:rPr>
              <w:noProof/>
            </w:rPr>
          </w:pPr>
          <w:hyperlink w:anchor="_Toc235623316" w:history="1">
            <w:r w:rsidRPr="00CF181B">
              <w:rPr>
                <w:rStyle w:val="Hyperlink"/>
                <w:noProof/>
              </w:rPr>
              <w:t>11. References</w:t>
            </w:r>
            <w:r>
              <w:rPr>
                <w:noProof/>
                <w:webHidden/>
              </w:rPr>
              <w:tab/>
            </w:r>
            <w:r>
              <w:rPr>
                <w:noProof/>
                <w:webHidden/>
              </w:rPr>
              <w:fldChar w:fldCharType="begin"/>
            </w:r>
            <w:r>
              <w:rPr>
                <w:noProof/>
                <w:webHidden/>
              </w:rPr>
              <w:instrText xml:space="preserve"> PAGEREF _Toc235623316 \h </w:instrText>
            </w:r>
            <w:r>
              <w:rPr>
                <w:noProof/>
                <w:webHidden/>
              </w:rPr>
            </w:r>
            <w:r>
              <w:rPr>
                <w:noProof/>
                <w:webHidden/>
              </w:rPr>
              <w:fldChar w:fldCharType="separate"/>
            </w:r>
            <w:r>
              <w:rPr>
                <w:noProof/>
                <w:webHidden/>
              </w:rPr>
              <w:t>8</w:t>
            </w:r>
            <w:r>
              <w:rPr>
                <w:noProof/>
                <w:webHidden/>
              </w:rPr>
              <w:fldChar w:fldCharType="end"/>
            </w:r>
          </w:hyperlink>
        </w:p>
        <w:p w14:paraId="26CFFB0A" w14:textId="77777777" w:rsidR="00E94176" w:rsidRDefault="004355FC">
          <w:r>
            <w:fldChar w:fldCharType="end"/>
          </w:r>
        </w:p>
      </w:sdtContent>
    </w:sdt>
    <w:p w14:paraId="13DE69D4" w14:textId="77777777" w:rsidR="00E94176" w:rsidRDefault="004355FC">
      <w:pPr>
        <w:pStyle w:val="Heading1"/>
      </w:pPr>
      <w:bookmarkStart w:id="0" w:name="supplement-scope"/>
      <w:bookmarkStart w:id="1" w:name="_Toc235623306"/>
      <w:r>
        <w:t>1. Supplement scope</w:t>
      </w:r>
      <w:bookmarkEnd w:id="1"/>
    </w:p>
    <w:p w14:paraId="568EB086" w14:textId="77777777" w:rsidR="00E94176" w:rsidRDefault="004355FC">
      <w:pPr>
        <w:pStyle w:val="FirstParagraph"/>
      </w:pPr>
      <w:r>
        <w:t>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14:paraId="3B16DB99" w14:textId="77777777" w:rsidR="00E94176" w:rsidRDefault="004355FC">
      <w:pPr>
        <w:pStyle w:val="BodyText"/>
      </w:pPr>
      <w:r>
        <w:t xml:space="preserve">The analysis-freeze commit is </w:t>
      </w:r>
      <w:r>
        <w:rPr>
          <w:rStyle w:val="VerbatimChar"/>
        </w:rPr>
        <w:t>c54b8e7f95a2fe3573e2e38633079cd223c5a783</w:t>
      </w:r>
      <w:r>
        <w:t xml:space="preserve">, tagged </w:t>
      </w:r>
      <w:r>
        <w:rPr>
          <w:rStyle w:val="VerbatimChar"/>
        </w:rPr>
        <w:t>stage4a-publication-v2-analysis-freeze</w:t>
      </w:r>
      <w:r>
        <w:t>. The manuscript branch changes only publication text, audit tables, rendered documents, and formatting artifacts.</w:t>
      </w:r>
    </w:p>
    <w:p w14:paraId="76F34B07" w14:textId="77777777" w:rsidR="00E94176" w:rsidRDefault="004355FC">
      <w:pPr>
        <w:pStyle w:val="BodyText"/>
      </w:pPr>
      <w:r>
        <w:lastRenderedPageBreak/>
        <w:t>Supplementary Table S11 (</w:t>
      </w:r>
      <w:r>
        <w:rPr>
          <w:rStyle w:val="VerbatimChar"/>
        </w:rPr>
        <w:t>Table_S11.csv</w:t>
      </w:r>
      <w:r>
        <w:t>) records the four frozen regional checklist populations and their inferential roles. The same checklist frame supports multiple taxon outcomes, so the counts are not summed across taxa.</w:t>
      </w:r>
    </w:p>
    <w:p w14:paraId="6E925290" w14:textId="77777777" w:rsidR="00E94176" w:rsidRDefault="004355FC">
      <w:pPr>
        <w:pStyle w:val="Heading1"/>
      </w:pPr>
      <w:bookmarkStart w:id="2" w:name="X656b43efa51a1217ae39c70b2dc1665cc91df8e"/>
      <w:bookmarkStart w:id="3" w:name="_Toc235623307"/>
      <w:bookmarkEnd w:id="0"/>
      <w:r>
        <w:t>2. Registered analysis and model disposition</w:t>
      </w:r>
      <w:bookmarkEnd w:id="3"/>
    </w:p>
    <w:p w14:paraId="7E764470" w14:textId="77777777" w:rsidR="00E94176" w:rsidRDefault="004355FC">
      <w:pPr>
        <w:pStyle w:val="FirstParagraph"/>
      </w:pPr>
      <w:r>
        <w:t>Supplementary Table S1 (</w:t>
      </w:r>
      <w:r>
        <w:rPr>
          <w:rStyle w:val="VerbatimChar"/>
        </w:rPr>
        <w:t>Table_S1.csv</w:t>
      </w:r>
      <w:r>
        <w:t>)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14:paraId="1A2C6CB5" w14:textId="77777777" w:rsidR="00E94176" w:rsidRDefault="004355FC">
      <w:pPr>
        <w:pStyle w:val="BodyText"/>
      </w:pPr>
      <w:r>
        <w:t>Supplementary Table S2 (</w:t>
      </w:r>
      <w:r>
        <w:rPr>
          <w:rStyle w:val="VerbatimChar"/>
        </w:rPr>
        <w:t>Table_S2.csv</w:t>
      </w:r>
      <w:r>
        <w:t xml:space="preserve">) is the full privacy-safe individual-estimate release. It includes all activated species, guild, region, outcome, contrast, coefficient, standard error, interval, p-value, model-specific BH q-value, fit status, and historical pooling fields. The M02 active-near subset contains all 196 region-outcome representations for 49 support-qualified species, including one explicit noncompleted row. Historical v1 </w:t>
      </w:r>
      <w:r>
        <w:rPr>
          <w:rStyle w:val="VerbatimChar"/>
        </w:rPr>
        <w:t>partial_pool_*</w:t>
      </w:r>
      <w:r>
        <w:t xml:space="preserve"> </w:t>
      </w:r>
      <w:r>
        <w:t>values are not used for inference; their authoritative invalidation and v2 replacement are described below.</w:t>
      </w:r>
    </w:p>
    <w:p w14:paraId="35532483" w14:textId="77777777" w:rsidR="00E94176" w:rsidRDefault="004355FC">
      <w:pPr>
        <w:pStyle w:val="Heading1"/>
      </w:pPr>
      <w:bookmarkStart w:id="4" w:name="X0f0d9d136cb8878ee4d7a1d8578536852e2671e"/>
      <w:bookmarkStart w:id="5" w:name="_Toc235623308"/>
      <w:bookmarkEnd w:id="2"/>
      <w:r>
        <w:t>3. Response construction and observation states</w:t>
      </w:r>
      <w:bookmarkEnd w:id="5"/>
    </w:p>
    <w:p w14:paraId="51AC7760" w14:textId="77777777" w:rsidR="00E94176" w:rsidRDefault="004355FC">
      <w:pPr>
        <w:pStyle w:val="FirstParagraph"/>
      </w:pPr>
      <w:r>
        <w:t xml:space="preserve">The factorized denominator distinguishes detection, positive numeric count, unquantified </w:t>
      </w:r>
      <w:r>
        <w:rPr>
          <w:rStyle w:val="VerbatimChar"/>
        </w:rPr>
        <w:t>X</w:t>
      </w:r>
      <w:r>
        <w:t xml:space="preserve">, lower-bound count, ambiguity, and deterministic omission zero. A deterministic zero exists only when an eligible complete checklist did not report the taxon and no ambiguity mask made the state structurally unknown. </w:t>
      </w:r>
      <w:r>
        <w:rPr>
          <w:rStyle w:val="VerbatimChar"/>
        </w:rPr>
        <w:t>X</w:t>
      </w:r>
      <w:r>
        <w:t xml:space="preserve"> </w:t>
      </w:r>
      <w:r>
        <w:t>contributes only to detection. Positive numeric count is conditional on a finite positive report and therefore cannot be interpreted as total abundance or biomass.</w:t>
      </w:r>
    </w:p>
    <w:p w14:paraId="606C8A25" w14:textId="77777777" w:rsidR="00E94176" w:rsidRDefault="004355FC">
      <w:pPr>
        <w:pStyle w:val="BodyText"/>
      </w:pPr>
      <w:r>
        <w:t>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p w14:paraId="3EFC9957" w14:textId="77777777" w:rsidR="00E94176" w:rsidRDefault="004355FC">
      <w:pPr>
        <w:pStyle w:val="Heading1"/>
      </w:pPr>
      <w:bookmarkStart w:id="6" w:name="event-time-results"/>
      <w:bookmarkStart w:id="7" w:name="_Toc235623309"/>
      <w:bookmarkEnd w:id="4"/>
      <w:r>
        <w:t>4. Event-time results</w:t>
      </w:r>
      <w:bookmarkEnd w:id="7"/>
    </w:p>
    <w:p w14:paraId="7B9367A8" w14:textId="77777777" w:rsidR="00E94176" w:rsidRDefault="004355FC">
      <w:pPr>
        <w:pStyle w:val="FirstParagraph"/>
      </w:pPr>
      <w:r>
        <w:t>Supplementary Table S3 (</w:t>
      </w:r>
      <w:r>
        <w:rPr>
          <w:rStyle w:val="VerbatimChar"/>
        </w:rPr>
        <w:t>Table_S3.csv</w:t>
      </w:r>
      <w:r>
        <w:t>)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14:paraId="60FC9C0E" w14:textId="77777777" w:rsidR="00E94176" w:rsidRDefault="004355FC">
      <w:pPr>
        <w:pStyle w:val="BodyText"/>
      </w:pPr>
      <w:r>
        <w:rPr>
          <w:noProof/>
        </w:rPr>
        <w:lastRenderedPageBreak/>
        <w:drawing>
          <wp:inline distT="0" distB="0" distL="0" distR="0" wp14:anchorId="306A521E" wp14:editId="79DD0E94">
            <wp:extent cx="5334000" cy="64008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S1.png"/>
                    <pic:cNvPicPr>
                      <a:picLocks noChangeAspect="1" noChangeArrowheads="1"/>
                    </pic:cNvPicPr>
                  </pic:nvPicPr>
                  <pic:blipFill>
                    <a:blip r:embed="rId7"/>
                    <a:stretch>
                      <a:fillRect/>
                    </a:stretch>
                  </pic:blipFill>
                  <pic:spPr bwMode="auto">
                    <a:xfrm>
                      <a:off x="0" y="0"/>
                      <a:ext cx="5334000" cy="6400800"/>
                    </a:xfrm>
                    <a:prstGeom prst="rect">
                      <a:avLst/>
                    </a:prstGeom>
                    <a:noFill/>
                    <a:ln w="9525">
                      <a:noFill/>
                      <a:headEnd/>
                      <a:tailEnd/>
                    </a:ln>
                  </pic:spPr>
                </pic:pic>
              </a:graphicData>
            </a:graphic>
          </wp:inline>
        </w:drawing>
      </w:r>
    </w:p>
    <w:p w14:paraId="55FBA106" w14:textId="77777777" w:rsidR="00E94176" w:rsidRDefault="004355FC">
      <w:pPr>
        <w:pStyle w:val="BodyText"/>
      </w:pPr>
      <w:r>
        <w:rPr>
          <w:b/>
          <w:bCs/>
        </w:rPr>
        <w:t>Supplementary Figure S1. Confidence intervals for all 49 support-qualified species.</w:t>
      </w:r>
      <w:r>
        <w:t xml:space="preserve"> </w:t>
      </w:r>
      <w:r>
        <w:t>Every completed M02 active-near estimate and 95% confidence interval is shown across both regions and response components. Filled points denote BH q &lt; 0.05. A symmetric pseudo-log axis preserves sign while accommodating the full interval range; the noncompleted component remains explicit NA in Figure 2 and Supplementary Table S2.</w:t>
      </w:r>
    </w:p>
    <w:p w14:paraId="315D3826" w14:textId="77777777" w:rsidR="00E94176" w:rsidRDefault="004355FC">
      <w:pPr>
        <w:pStyle w:val="Heading1"/>
      </w:pPr>
      <w:bookmarkStart w:id="8" w:name="partial-pooling-repair"/>
      <w:bookmarkStart w:id="9" w:name="_Toc235623310"/>
      <w:bookmarkEnd w:id="6"/>
      <w:r>
        <w:t>5. Partial-pooling repair</w:t>
      </w:r>
      <w:bookmarkEnd w:id="9"/>
    </w:p>
    <w:p w14:paraId="603FE2E5" w14:textId="77777777" w:rsidR="00E94176" w:rsidRDefault="004355FC">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 </w:t>
      </w:r>
      <w:r>
        <w:rPr>
          <w:rStyle w:val="VerbatimChar"/>
        </w:rPr>
        <w:t>NA</w:t>
      </w:r>
      <w:r>
        <w:t xml:space="preserve"> as missing and therefore omitted the registered North-region literal code. The authoritative typed audit covers 6,562 finite v1 rows in 112 historical families.</w:t>
      </w:r>
    </w:p>
    <w:p w14:paraId="0DF043E9" w14:textId="77777777" w:rsidR="00E94176" w:rsidRDefault="004355FC">
      <w:pPr>
        <w:pStyle w:val="BodyText"/>
      </w:pPr>
      <w:r>
        <w:t>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w:t>
      </w:r>
      <w:r>
        <w:t xml:space="preserve"> 38 noncompleted rows as explicit NA. Individual estimates, standard errors, confidence intervals, p-values, and model-specific BH q-values were exactly preserved, and no v1 artifact was modified.</w:t>
      </w:r>
    </w:p>
    <w:p w14:paraId="5569F784" w14:textId="77777777" w:rsidR="00E94176" w:rsidRDefault="004355FC">
      <w:pPr>
        <w:pStyle w:val="BodyText"/>
      </w:pPr>
      <w:r>
        <w:t>Supplementary Table S4 (</w:t>
      </w:r>
      <w:r>
        <w:rPr>
          <w:rStyle w:val="VerbatimChar"/>
        </w:rPr>
        <w:t>Table_S4.csv</w:t>
      </w:r>
      <w:r>
        <w:t>) contains all 162 compatible pooling families. Supplementary Table S5 (</w:t>
      </w:r>
      <w:r>
        <w:rPr>
          <w:rStyle w:val="VerbatimChar"/>
        </w:rPr>
        <w:t>Table_S5.csv</w:t>
      </w:r>
      <w:r>
        <w:t>) summarizes the three row dispositions; row-level reason codes and crosswalks are in the associated metadata files.</w:t>
      </w:r>
    </w:p>
    <w:p w14:paraId="5D4973CB" w14:textId="77777777" w:rsidR="00E94176" w:rsidRDefault="004355FC">
      <w:pPr>
        <w:pStyle w:val="BodyText"/>
      </w:pPr>
      <w:r>
        <w:rPr>
          <w:noProof/>
        </w:rPr>
        <w:drawing>
          <wp:inline distT="0" distB="0" distL="0" distR="0" wp14:anchorId="3085411F" wp14:editId="032017C2">
            <wp:extent cx="5334000" cy="2667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S2.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65EC21B7" w14:textId="77777777" w:rsidR="00E94176" w:rsidRDefault="004355FC">
      <w:pPr>
        <w:pStyle w:val="BodyText"/>
      </w:pPr>
      <w:r>
        <w:rPr>
          <w:b/>
          <w:bCs/>
        </w:rPr>
        <w:t>Supplementary Figure S2. Pooling row disposition.</w:t>
      </w:r>
      <w:r>
        <w:t xml:space="preserve"> Excluded duplicate representations and noncompleted rows remain explicit NA rather than zero effects.</w:t>
      </w:r>
    </w:p>
    <w:p w14:paraId="2ED643B2" w14:textId="77777777" w:rsidR="00E94176" w:rsidRDefault="004355FC">
      <w:pPr>
        <w:pStyle w:val="BodyText"/>
      </w:pPr>
      <w:r>
        <w:rPr>
          <w:noProof/>
        </w:rPr>
        <w:drawing>
          <wp:inline distT="0" distB="0" distL="0" distR="0" wp14:anchorId="013C2A9F" wp14:editId="7C3BD1A1">
            <wp:extent cx="5334000" cy="2601912"/>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Figure_S3.png"/>
                    <pic:cNvPicPr>
                      <a:picLocks noChangeAspect="1" noChangeArrowheads="1"/>
                    </pic:cNvPicPr>
                  </pic:nvPicPr>
                  <pic:blipFill>
                    <a:blip r:embed="rId9"/>
                    <a:stretch>
                      <a:fillRect/>
                    </a:stretch>
                  </pic:blipFill>
                  <pic:spPr bwMode="auto">
                    <a:xfrm>
                      <a:off x="0" y="0"/>
                      <a:ext cx="5334000" cy="2601912"/>
                    </a:xfrm>
                    <a:prstGeom prst="rect">
                      <a:avLst/>
                    </a:prstGeom>
                    <a:noFill/>
                    <a:ln w="9525">
                      <a:noFill/>
                      <a:headEnd/>
                      <a:tailEnd/>
                    </a:ln>
                  </pic:spPr>
                </pic:pic>
              </a:graphicData>
            </a:graphic>
          </wp:inline>
        </w:drawing>
      </w:r>
    </w:p>
    <w:p w14:paraId="6CEFD1D0" w14:textId="77777777" w:rsidR="00E94176" w:rsidRDefault="004355FC">
      <w:pPr>
        <w:pStyle w:val="BodyText"/>
      </w:pPr>
      <w:r>
        <w:rPr>
          <w:b/>
          <w:bCs/>
        </w:rPr>
        <w:t>Supplementary Figure S3. Compatible-family heterogeneity.</w:t>
      </w:r>
      <w:r>
        <w:t xml:space="preserve"> </w:t>
      </w:r>
      <w:r>
        <w:t>The distribution is a diagnostic of the frozen partial-pooling estimator, not a new ecological outcome.</w:t>
      </w:r>
    </w:p>
    <w:p w14:paraId="475103B6" w14:textId="77777777" w:rsidR="00E94176" w:rsidRDefault="004355FC">
      <w:pPr>
        <w:pStyle w:val="Heading1"/>
      </w:pPr>
      <w:bookmarkStart w:id="10" w:name="singular-fit-component-audit"/>
      <w:bookmarkStart w:id="11" w:name="_Toc235623311"/>
      <w:bookmarkEnd w:id="8"/>
      <w:r>
        <w:t>6. Singular-fit component audit</w:t>
      </w:r>
      <w:bookmarkEnd w:id="11"/>
    </w:p>
    <w:p w14:paraId="0A082D5E" w14:textId="77777777" w:rsidR="00E94176" w:rsidRDefault="004355FC">
      <w:pPr>
        <w:pStyle w:val="FirstParagraph"/>
      </w:pPr>
      <w:r>
        <w:t>Supplementary Table S6 (</w:t>
      </w:r>
      <w:r>
        <w:rPr>
          <w:rStyle w:val="VerbatimChar"/>
        </w:rPr>
        <w:t>Table_S6.csv</w:t>
      </w:r>
      <w:r>
        <w:t>)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14:paraId="76C1373A" w14:textId="77777777" w:rsidR="00E94176" w:rsidRDefault="004355FC">
      <w:pPr>
        <w:pStyle w:val="BodyText"/>
      </w:pPr>
      <w:r>
        <w:t>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w="0" w:type="auto"/>
        <w:tblLook w:val="0020" w:firstRow="1" w:lastRow="0" w:firstColumn="0" w:lastColumn="0" w:noHBand="0" w:noVBand="0"/>
      </w:tblPr>
      <w:tblGrid>
        <w:gridCol w:w="4482"/>
        <w:gridCol w:w="2427"/>
      </w:tblGrid>
      <w:tr w:rsidR="00E94176" w14:paraId="1FDCF06F" w14:textId="77777777" w:rsidTr="00E94176">
        <w:trPr>
          <w:cnfStyle w:val="100000000000" w:firstRow="1" w:lastRow="0" w:firstColumn="0" w:lastColumn="0" w:oddVBand="0" w:evenVBand="0" w:oddHBand="0" w:evenHBand="0" w:firstRowFirstColumn="0" w:firstRowLastColumn="0" w:lastRowFirstColumn="0" w:lastRowLastColumn="0"/>
          <w:tblHeader/>
        </w:trPr>
        <w:tc>
          <w:tcPr>
            <w:tcW w:w="0" w:type="auto"/>
          </w:tcPr>
          <w:p w14:paraId="6D70A23B" w14:textId="77777777" w:rsidR="00E94176" w:rsidRDefault="004355FC">
            <w:pPr>
              <w:pStyle w:val="Compact"/>
            </w:pPr>
            <w:r>
              <w:t>Model version</w:t>
            </w:r>
          </w:p>
        </w:tc>
        <w:tc>
          <w:tcPr>
            <w:tcW w:w="0" w:type="auto"/>
          </w:tcPr>
          <w:p w14:paraId="150C9C82" w14:textId="77777777" w:rsidR="00E94176" w:rsidRDefault="004355FC">
            <w:pPr>
              <w:pStyle w:val="Compact"/>
              <w:jc w:val="right"/>
            </w:pPr>
            <w:r>
              <w:t>Singular components</w:t>
            </w:r>
          </w:p>
        </w:tc>
      </w:tr>
      <w:tr w:rsidR="00E94176" w14:paraId="6F28FBFE" w14:textId="77777777">
        <w:tc>
          <w:tcPr>
            <w:tcW w:w="0" w:type="auto"/>
          </w:tcPr>
          <w:p w14:paraId="7A00978E" w14:textId="77777777" w:rsidR="00E94176" w:rsidRDefault="004355FC">
            <w:pPr>
              <w:pStyle w:val="Compact"/>
            </w:pPr>
            <w:r>
              <w:t>M01_PRIMARY_v2</w:t>
            </w:r>
          </w:p>
        </w:tc>
        <w:tc>
          <w:tcPr>
            <w:tcW w:w="0" w:type="auto"/>
          </w:tcPr>
          <w:p w14:paraId="03C31C80" w14:textId="77777777" w:rsidR="00E94176" w:rsidRDefault="004355FC">
            <w:pPr>
              <w:pStyle w:val="Compact"/>
              <w:jc w:val="right"/>
            </w:pPr>
            <w:r>
              <w:t>6</w:t>
            </w:r>
          </w:p>
        </w:tc>
      </w:tr>
      <w:tr w:rsidR="00E94176" w14:paraId="3A6E6090" w14:textId="77777777">
        <w:tc>
          <w:tcPr>
            <w:tcW w:w="0" w:type="auto"/>
          </w:tcPr>
          <w:p w14:paraId="12582089" w14:textId="77777777" w:rsidR="00E94176" w:rsidRDefault="004355FC">
            <w:pPr>
              <w:pStyle w:val="Compact"/>
            </w:pPr>
            <w:r>
              <w:t>M27_v2</w:t>
            </w:r>
          </w:p>
        </w:tc>
        <w:tc>
          <w:tcPr>
            <w:tcW w:w="0" w:type="auto"/>
          </w:tcPr>
          <w:p w14:paraId="59E4D28D" w14:textId="77777777" w:rsidR="00E94176" w:rsidRDefault="004355FC">
            <w:pPr>
              <w:pStyle w:val="Compact"/>
              <w:jc w:val="right"/>
            </w:pPr>
            <w:r>
              <w:t>10</w:t>
            </w:r>
          </w:p>
        </w:tc>
      </w:tr>
      <w:tr w:rsidR="00E94176" w14:paraId="06E00F55" w14:textId="77777777">
        <w:tc>
          <w:tcPr>
            <w:tcW w:w="0" w:type="auto"/>
          </w:tcPr>
          <w:p w14:paraId="377B3906" w14:textId="77777777" w:rsidR="00E94176" w:rsidRDefault="004355FC">
            <w:pPr>
              <w:pStyle w:val="Compact"/>
            </w:pPr>
            <w:r>
              <w:t>M28_v2</w:t>
            </w:r>
          </w:p>
        </w:tc>
        <w:tc>
          <w:tcPr>
            <w:tcW w:w="0" w:type="auto"/>
          </w:tcPr>
          <w:p w14:paraId="0D476450" w14:textId="77777777" w:rsidR="00E94176" w:rsidRDefault="004355FC">
            <w:pPr>
              <w:pStyle w:val="Compact"/>
              <w:jc w:val="right"/>
            </w:pPr>
            <w:r>
              <w:t>10</w:t>
            </w:r>
          </w:p>
        </w:tc>
      </w:tr>
      <w:tr w:rsidR="00E94176" w14:paraId="0CC43F7F" w14:textId="77777777">
        <w:tc>
          <w:tcPr>
            <w:tcW w:w="0" w:type="auto"/>
          </w:tcPr>
          <w:p w14:paraId="5CB8E12E" w14:textId="77777777" w:rsidR="00E94176" w:rsidRDefault="004355FC">
            <w:pPr>
              <w:pStyle w:val="Compact"/>
            </w:pPr>
            <w:r>
              <w:t>S4A11_WCVI_DOMINANT_OBSERVER_v2</w:t>
            </w:r>
          </w:p>
        </w:tc>
        <w:tc>
          <w:tcPr>
            <w:tcW w:w="0" w:type="auto"/>
          </w:tcPr>
          <w:p w14:paraId="3BA38F7B" w14:textId="77777777" w:rsidR="00E94176" w:rsidRDefault="004355FC">
            <w:pPr>
              <w:pStyle w:val="Compact"/>
              <w:jc w:val="right"/>
            </w:pPr>
            <w:r>
              <w:t>9</w:t>
            </w:r>
          </w:p>
        </w:tc>
      </w:tr>
      <w:tr w:rsidR="00E94176" w14:paraId="6AC1AFF6" w14:textId="77777777">
        <w:tc>
          <w:tcPr>
            <w:tcW w:w="0" w:type="auto"/>
          </w:tcPr>
          <w:p w14:paraId="5FC4AE7F" w14:textId="77777777" w:rsidR="00E94176" w:rsidRDefault="004355FC">
            <w:pPr>
              <w:pStyle w:val="Compact"/>
            </w:pPr>
            <w:r>
              <w:t>S4A12_WCVI_2KM_v2</w:t>
            </w:r>
          </w:p>
        </w:tc>
        <w:tc>
          <w:tcPr>
            <w:tcW w:w="0" w:type="auto"/>
          </w:tcPr>
          <w:p w14:paraId="1767234B" w14:textId="77777777" w:rsidR="00E94176" w:rsidRDefault="004355FC">
            <w:pPr>
              <w:pStyle w:val="Compact"/>
              <w:jc w:val="right"/>
            </w:pPr>
            <w:r>
              <w:t>8</w:t>
            </w:r>
          </w:p>
        </w:tc>
      </w:tr>
      <w:tr w:rsidR="00E94176" w14:paraId="0B438085" w14:textId="77777777">
        <w:tc>
          <w:tcPr>
            <w:tcW w:w="0" w:type="auto"/>
          </w:tcPr>
          <w:p w14:paraId="238867A8" w14:textId="77777777" w:rsidR="00E94176" w:rsidRDefault="004355FC">
            <w:pPr>
              <w:pStyle w:val="Compact"/>
            </w:pPr>
            <w:r>
              <w:rPr>
                <w:b/>
                <w:bCs/>
              </w:rPr>
              <w:t>Total</w:t>
            </w:r>
          </w:p>
        </w:tc>
        <w:tc>
          <w:tcPr>
            <w:tcW w:w="0" w:type="auto"/>
          </w:tcPr>
          <w:p w14:paraId="42FD521A" w14:textId="77777777" w:rsidR="00E94176" w:rsidRDefault="004355FC">
            <w:pPr>
              <w:pStyle w:val="Compact"/>
              <w:jc w:val="right"/>
            </w:pPr>
            <w:r>
              <w:rPr>
                <w:b/>
                <w:bCs/>
              </w:rPr>
              <w:t>43</w:t>
            </w:r>
          </w:p>
        </w:tc>
      </w:tr>
    </w:tbl>
    <w:p w14:paraId="37A63653" w14:textId="77777777" w:rsidR="00E94176" w:rsidRDefault="004355FC">
      <w:pPr>
        <w:pStyle w:val="Heading1"/>
      </w:pPr>
      <w:bookmarkStart w:id="12" w:name="placebo-and-matched-sensitivity-details"/>
      <w:bookmarkStart w:id="13" w:name="_Toc235623312"/>
      <w:bookmarkEnd w:id="10"/>
      <w:r>
        <w:t>7. Placebo and matched sensitivity details</w:t>
      </w:r>
      <w:bookmarkEnd w:id="13"/>
    </w:p>
    <w:p w14:paraId="7E7ED6FB" w14:textId="77777777" w:rsidR="00E94176" w:rsidRDefault="004355FC">
      <w:pPr>
        <w:pStyle w:val="FirstParagraph"/>
      </w:pPr>
      <w:r>
        <w:t>Supplementary Table S7 (</w:t>
      </w:r>
      <w:r>
        <w:rPr>
          <w:rStyle w:val="VerbatimChar"/>
        </w:rPr>
        <w:t>Table_S7.csv</w:t>
      </w:r>
      <w:r>
        <w:t>)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14:paraId="630A4A4D" w14:textId="77777777" w:rsidR="00E94176" w:rsidRDefault="004355FC">
      <w:pPr>
        <w:pStyle w:val="BodyText"/>
      </w:pPr>
      <w:r>
        <w:rPr>
          <w:noProof/>
        </w:rPr>
        <w:drawing>
          <wp:inline distT="0" distB="0" distL="0" distR="0" wp14:anchorId="1DE60359" wp14:editId="1C1B295A">
            <wp:extent cx="5334000" cy="316483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S5.png"/>
                    <pic:cNvPicPr>
                      <a:picLocks noChangeAspect="1" noChangeArrowheads="1"/>
                    </pic:cNvPicPr>
                  </pic:nvPicPr>
                  <pic:blipFill>
                    <a:blip r:embed="rId10"/>
                    <a:stretch>
                      <a:fillRect/>
                    </a:stretch>
                  </pic:blipFill>
                  <pic:spPr bwMode="auto">
                    <a:xfrm>
                      <a:off x="0" y="0"/>
                      <a:ext cx="5334000" cy="3164839"/>
                    </a:xfrm>
                    <a:prstGeom prst="rect">
                      <a:avLst/>
                    </a:prstGeom>
                    <a:noFill/>
                    <a:ln w="9525">
                      <a:noFill/>
                      <a:headEnd/>
                      <a:tailEnd/>
                    </a:ln>
                  </pic:spPr>
                </pic:pic>
              </a:graphicData>
            </a:graphic>
          </wp:inline>
        </w:drawing>
      </w:r>
    </w:p>
    <w:p w14:paraId="1CD15433" w14:textId="77777777" w:rsidR="00E94176" w:rsidRDefault="004355FC">
      <w:pPr>
        <w:pStyle w:val="BodyText"/>
      </w:pPr>
      <w:r>
        <w:rPr>
          <w:b/>
          <w:bCs/>
        </w:rPr>
        <w:t>Supplementary Figure S5. Matched whole-bundle placebo diagnostics.</w:t>
      </w:r>
      <w:r>
        <w:t xml:space="preserve"> M27 and M28 shifted complete exposure bundles within region-year strata without reading responses. No placebo component had BH q below 0.05; null diagnostics do not establish causal identification.</w:t>
      </w:r>
    </w:p>
    <w:p w14:paraId="2597F568" w14:textId="77777777" w:rsidR="00E94176" w:rsidRDefault="004355FC">
      <w:pPr>
        <w:pStyle w:val="BodyText"/>
      </w:pPr>
      <w:r>
        <w:t>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14:paraId="51AE5831" w14:textId="77777777" w:rsidR="00E94176" w:rsidRDefault="004355FC">
      <w:pPr>
        <w:pStyle w:val="BodyText"/>
      </w:pPr>
      <w:r>
        <w:t>Supplementary Table S9 (</w:t>
      </w:r>
      <w:r>
        <w:rPr>
          <w:rStyle w:val="VerbatimChar"/>
        </w:rPr>
        <w:t>Table_S9.csv</w:t>
      </w:r>
      <w:r>
        <w:t>) contains 512 model-component-fold rows. Each of the 128 components has four event-blocked folds. Validation uses fixed effects only, excludes unsupported fixed factor levels transparently, suppresses cells below 20, and never uses conditional observer or location BLUPs.</w:t>
      </w:r>
    </w:p>
    <w:p w14:paraId="287A3F98" w14:textId="77777777" w:rsidR="00E94176" w:rsidRDefault="004355FC">
      <w:pPr>
        <w:pStyle w:val="BodyText"/>
      </w:pPr>
      <w:r>
        <w:rPr>
          <w:noProof/>
        </w:rPr>
        <w:drawing>
          <wp:inline distT="0" distB="0" distL="0" distR="0" wp14:anchorId="590E2820" wp14:editId="0F2649F1">
            <wp:extent cx="5334000" cy="2721428"/>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ure_S4.png"/>
                    <pic:cNvPicPr>
                      <a:picLocks noChangeAspect="1" noChangeArrowheads="1"/>
                    </pic:cNvPicPr>
                  </pic:nvPicPr>
                  <pic:blipFill>
                    <a:blip r:embed="rId11"/>
                    <a:stretch>
                      <a:fillRect/>
                    </a:stretch>
                  </pic:blipFill>
                  <pic:spPr bwMode="auto">
                    <a:xfrm>
                      <a:off x="0" y="0"/>
                      <a:ext cx="5334000" cy="2721428"/>
                    </a:xfrm>
                    <a:prstGeom prst="rect">
                      <a:avLst/>
                    </a:prstGeom>
                    <a:noFill/>
                    <a:ln w="9525">
                      <a:noFill/>
                      <a:headEnd/>
                      <a:tailEnd/>
                    </a:ln>
                  </pic:spPr>
                </pic:pic>
              </a:graphicData>
            </a:graphic>
          </wp:inline>
        </w:drawing>
      </w:r>
    </w:p>
    <w:p w14:paraId="74E6845B" w14:textId="77777777" w:rsidR="00E94176" w:rsidRDefault="004355FC">
      <w:pPr>
        <w:pStyle w:val="BodyText"/>
      </w:pPr>
      <w:r>
        <w:rPr>
          <w:b/>
          <w:bCs/>
        </w:rPr>
        <w:t>Supplementary Figure S4. Sensitivity execution and fit diagnostics.</w:t>
      </w:r>
      <w:r>
        <w:t xml:space="preserve"> All components completed; singular warnings remain explicit and failures are not recoded as successful fits.</w:t>
      </w:r>
    </w:p>
    <w:p w14:paraId="4A70849A" w14:textId="77777777" w:rsidR="00E94176" w:rsidRDefault="004355FC">
      <w:pPr>
        <w:pStyle w:val="Heading1"/>
      </w:pPr>
      <w:bookmarkStart w:id="14" w:name="X8d0b758b7ecd4305ca0f50fd74c5bafb56ab217"/>
      <w:bookmarkStart w:id="15" w:name="_Toc235623313"/>
      <w:bookmarkEnd w:id="12"/>
      <w:r>
        <w:t>8. Strait of Georgia specificity/falsification audit</w:t>
      </w:r>
      <w:bookmarkEnd w:id="15"/>
    </w:p>
    <w:p w14:paraId="599BF75D" w14:textId="77777777" w:rsidR="00E94176" w:rsidRDefault="004355FC">
      <w:pPr>
        <w:pStyle w:val="FirstParagraph"/>
      </w:pPr>
      <w:r>
        <w:t>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14:paraId="4F6D8872" w14:textId="77777777" w:rsidR="00E94176" w:rsidRDefault="004355FC">
      <w:pPr>
        <w:pStyle w:val="BodyText"/>
      </w:pPr>
      <w:r>
        <w:t>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w:t>
      </w:r>
      <w:r>
        <w:t>ly. The resulting manuscript treatment is therefore to downgrade ecological specificity, state residual-confounding and classification explanations, and retain rather than hide the panel.</w:t>
      </w:r>
    </w:p>
    <w:p w14:paraId="38185934" w14:textId="77777777" w:rsidR="00E94176" w:rsidRDefault="004355FC">
      <w:pPr>
        <w:pStyle w:val="BodyText"/>
      </w:pPr>
      <w:r>
        <w:t>The full two-row audit is included in the journal consistency-audit package; its main-document summary is Table 3.</w:t>
      </w:r>
    </w:p>
    <w:p w14:paraId="1922E6ED" w14:textId="77777777" w:rsidR="00E94176" w:rsidRDefault="004355FC">
      <w:pPr>
        <w:pStyle w:val="Heading1"/>
      </w:pPr>
      <w:bookmarkStart w:id="16" w:name="X3b647f72ca45d03c8ab0a7592e6079aa1efe689"/>
      <w:bookmarkStart w:id="17" w:name="_Toc235623314"/>
      <w:bookmarkEnd w:id="14"/>
      <w:r>
        <w:t>9. DFO monitoring, exposure classification, and regional interpretation</w:t>
      </w:r>
      <w:bookmarkEnd w:id="17"/>
    </w:p>
    <w:p w14:paraId="6B01CD10" w14:textId="77777777" w:rsidR="00E94176" w:rsidRDefault="004355FC">
      <w:pPr>
        <w:pStyle w:val="FirstParagraph"/>
      </w:pPr>
      <w:r>
        <w:t>The Pacific Herring Spawn Index Data are an official relative index with documented observation and measurement caveats [</w:t>
      </w:r>
      <w:hyperlink w:anchor="ref-grinnell2023">
        <w:r>
          <w:rPr>
            <w:rStyle w:val="Hyperlink"/>
          </w:rPr>
          <w:t>1</w:t>
        </w:r>
      </w:hyperlink>
      <w:r>
        <w:t>,</w:t>
      </w:r>
      <w:hyperlink w:anchor="ref-dfo_spawn_data">
        <w:r>
          <w:rPr>
            <w:rStyle w:val="Hyperlink"/>
          </w:rPr>
          <w:t>2</w:t>
        </w:r>
      </w:hyperlink>
      <w:r>
        <w:t xml:space="preserve">]. Surveyed-positive, surveyed-negative, and unmonitored-unknown states are distinct. The literal regional code </w:t>
      </w:r>
      <w:r>
        <w:rPr>
          <w:rStyle w:val="VerbatimChar"/>
        </w:rPr>
        <w:t>NA</w:t>
      </w:r>
      <w:r>
        <w:t xml:space="preserve"> </w:t>
      </w:r>
      <w:r>
        <w:t>denotes the registered North region in the analysis registry; it is not a missing value. Missing herring components are not zero.</w:t>
      </w:r>
    </w:p>
    <w:p w14:paraId="3F24DD24" w14:textId="77777777" w:rsidR="00E94176" w:rsidRDefault="004355FC">
      <w:pPr>
        <w:pStyle w:val="BodyText"/>
      </w:pPr>
      <w:r>
        <w:t>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p w14:paraId="04449183" w14:textId="77777777" w:rsidR="00E94176" w:rsidRDefault="004355FC">
      <w:pPr>
        <w:pStyle w:val="Heading1"/>
      </w:pPr>
      <w:bookmarkStart w:id="18" w:name="X0f6b22ba3c42b132ef3bb8640644e51dd2fb2d0"/>
      <w:bookmarkStart w:id="19" w:name="_Toc235623315"/>
      <w:bookmarkEnd w:id="16"/>
      <w:r>
        <w:t>10. Reproducibility, provenance, and artifact hashes</w:t>
      </w:r>
      <w:bookmarkEnd w:id="19"/>
    </w:p>
    <w:p w14:paraId="558F037D" w14:textId="77777777" w:rsidR="00E94176" w:rsidRDefault="004355FC">
      <w:pPr>
        <w:pStyle w:val="FirstParagraph"/>
      </w:pPr>
      <w:r>
        <w:t>Supplementary Table S10 (</w:t>
      </w:r>
      <w:r>
        <w:rPr>
          <w:rStyle w:val="VerbatimChar"/>
        </w:rPr>
        <w:t>Table_S10.csv</w:t>
      </w:r>
      <w:r>
        <w:t>) records the SHA-256 and byte size of the submission artifacts after rendering. The journal consistency-audit package contains the table/figure provenance registry, including each artifact’s location, source file and hash, generation script and commit, filters, model or family IDs, caption, and privacy class.</w:t>
      </w:r>
    </w:p>
    <w:p w14:paraId="6A85B563" w14:textId="77777777" w:rsidR="00E94176" w:rsidRDefault="004355FC">
      <w:pPr>
        <w:pStyle w:val="BodyText"/>
      </w:pPr>
      <w:r>
        <w:t>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p w14:paraId="268C9525" w14:textId="77777777" w:rsidR="00E94176" w:rsidRDefault="004355FC">
      <w:pPr>
        <w:pStyle w:val="Heading1"/>
      </w:pPr>
      <w:bookmarkStart w:id="20" w:name="references"/>
      <w:bookmarkStart w:id="21" w:name="_Toc235623316"/>
      <w:bookmarkEnd w:id="18"/>
      <w:r>
        <w:t>11. References</w:t>
      </w:r>
      <w:bookmarkEnd w:id="21"/>
    </w:p>
    <w:p w14:paraId="7A4281C8" w14:textId="77777777" w:rsidR="00E94176" w:rsidRDefault="004355FC">
      <w:pPr>
        <w:pStyle w:val="Bibliography"/>
      </w:pPr>
      <w:bookmarkStart w:id="22" w:name="ref-grinnell2023"/>
      <w:bookmarkStart w:id="23" w:name="refs"/>
      <w:r>
        <w:t xml:space="preserve">[1] </w:t>
      </w:r>
      <w:r>
        <w:tab/>
        <w:t xml:space="preserve">Grinnell MH, Schweigert JF, Thompson M, Hawkshaw S, Cleary JS. </w:t>
      </w:r>
      <w:hyperlink r:id="rId12">
        <w:r>
          <w:rPr>
            <w:rStyle w:val="Hyperlink"/>
          </w:rPr>
          <w:t>Calculating the spawn index for pacific herring (clupea pallasii) in british columbia, canada</w:t>
        </w:r>
      </w:hyperlink>
      <w:r>
        <w:t>. Fisheries; Oceans Canada; 2023.</w:t>
      </w:r>
    </w:p>
    <w:p w14:paraId="6479D196" w14:textId="77777777" w:rsidR="00E94176" w:rsidRDefault="004355FC">
      <w:pPr>
        <w:pStyle w:val="Bibliography"/>
      </w:pPr>
      <w:bookmarkStart w:id="24" w:name="ref-dfo_spawn_data"/>
      <w:bookmarkEnd w:id="22"/>
      <w:r>
        <w:t xml:space="preserve">[2] </w:t>
      </w:r>
      <w:r>
        <w:tab/>
        <w:t xml:space="preserve">Fisheries and Oceans Canada. </w:t>
      </w:r>
      <w:hyperlink r:id="rId13">
        <w:r>
          <w:rPr>
            <w:rStyle w:val="Hyperlink"/>
          </w:rPr>
          <w:t>Pacific herring spawn index data</w:t>
        </w:r>
      </w:hyperlink>
      <w:r>
        <w:t xml:space="preserve"> 2026.</w:t>
      </w:r>
      <w:bookmarkEnd w:id="20"/>
      <w:bookmarkEnd w:id="23"/>
      <w:bookmarkEnd w:id="24"/>
    </w:p>
    <w:sectPr w:rsidR="00E94176" w:rsidSect="009559D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705C9" w14:textId="77777777" w:rsidR="004355FC" w:rsidRDefault="004355FC" w:rsidP="009559D5">
      <w:pPr>
        <w:spacing w:after="0"/>
      </w:pPr>
      <w:r>
        <w:separator/>
      </w:r>
    </w:p>
  </w:endnote>
  <w:endnote w:type="continuationSeparator" w:id="0">
    <w:p w14:paraId="312AC337" w14:textId="77777777" w:rsidR="004355FC" w:rsidRDefault="004355FC" w:rsidP="009559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40E0" w14:textId="77777777" w:rsidR="009559D5" w:rsidRDefault="009559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F0EC9" w14:textId="2ED383D7" w:rsidR="009559D5" w:rsidRDefault="009559D5" w:rsidP="009559D5">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D388D" w14:textId="77777777" w:rsidR="009559D5" w:rsidRDefault="009559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E42AF" w14:textId="77777777" w:rsidR="004355FC" w:rsidRDefault="004355FC" w:rsidP="009559D5">
      <w:pPr>
        <w:spacing w:after="0"/>
      </w:pPr>
      <w:r>
        <w:separator/>
      </w:r>
    </w:p>
  </w:footnote>
  <w:footnote w:type="continuationSeparator" w:id="0">
    <w:p w14:paraId="4E141E70" w14:textId="77777777" w:rsidR="004355FC" w:rsidRDefault="004355FC" w:rsidP="009559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0E82" w14:textId="77777777" w:rsidR="009559D5" w:rsidRDefault="009559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74235" w14:textId="77777777" w:rsidR="009559D5" w:rsidRDefault="009559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A53B2" w14:textId="77777777" w:rsidR="009559D5" w:rsidRDefault="009559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8A874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01537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4176"/>
    <w:rsid w:val="004355FC"/>
    <w:rsid w:val="009559D5"/>
    <w:rsid w:val="00A60622"/>
    <w:rsid w:val="00E941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08DDE"/>
  <w15:docId w15:val="{1260FF1F-018E-40F0-AA0C-9136A29C2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9559D5"/>
    <w:pPr>
      <w:spacing w:after="100"/>
    </w:pPr>
  </w:style>
  <w:style w:type="paragraph" w:styleId="Header">
    <w:name w:val="header"/>
    <w:basedOn w:val="Normal"/>
    <w:link w:val="HeaderChar"/>
    <w:rsid w:val="009559D5"/>
    <w:pPr>
      <w:tabs>
        <w:tab w:val="center" w:pos="4680"/>
        <w:tab w:val="right" w:pos="9360"/>
      </w:tabs>
      <w:spacing w:after="0"/>
    </w:pPr>
  </w:style>
  <w:style w:type="character" w:customStyle="1" w:styleId="HeaderChar">
    <w:name w:val="Header Char"/>
    <w:basedOn w:val="DefaultParagraphFont"/>
    <w:link w:val="Header"/>
    <w:rsid w:val="009559D5"/>
  </w:style>
  <w:style w:type="paragraph" w:styleId="Footer">
    <w:name w:val="footer"/>
    <w:basedOn w:val="Normal"/>
    <w:link w:val="FooterChar"/>
    <w:rsid w:val="009559D5"/>
    <w:pPr>
      <w:tabs>
        <w:tab w:val="center" w:pos="4680"/>
        <w:tab w:val="right" w:pos="9360"/>
      </w:tabs>
      <w:spacing w:after="0"/>
    </w:pPr>
  </w:style>
  <w:style w:type="character" w:customStyle="1" w:styleId="FooterChar">
    <w:name w:val="Footer Char"/>
    <w:basedOn w:val="DefaultParagraphFont"/>
    <w:link w:val="Footer"/>
    <w:rsid w:val="009559D5"/>
  </w:style>
  <w:style w:type="character" w:styleId="LineNumber">
    <w:name w:val="line number"/>
    <w:basedOn w:val="DefaultParagraphFont"/>
    <w:rsid w:val="009559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pen.canada.ca/data/en/dataset/d892511c-d851-4f85-a0ec-708bc05d2810"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ublications.gc.ca/site/eng/9.912189/publication.html"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1570</Words>
  <Characters>10362</Characters>
  <Application>Microsoft Office Word</Application>
  <DocSecurity>0</DocSecurity>
  <Lines>187</Lines>
  <Paragraphs>70</Paragraphs>
  <ScaleCrop>false</ScaleCrop>
  <Company/>
  <LinksUpToDate>false</LinksUpToDate>
  <CharactersWithSpaces>11864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Spatiotemporal associations between coastal birds and Pacific herring spawning in British Columbia</dc:title>
  <dc:creator>[Blinded for review]</dc:creator>
  <cp:keywords/>
  <cp:lastModifiedBy>Jake Dingwall</cp:lastModifiedBy>
  <cp:revision>2</cp:revision>
  <dcterms:created xsi:type="dcterms:W3CDTF">2026-07-22T21:34:00Z</dcterms:created>
  <dcterms:modified xsi:type="dcterms:W3CDTF">2026-07-22T21:34:00Z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 Stage 4A v2 analysis freeze</vt:lpwstr>
  </property>
  <property fmtid="{D5CDD505-2E9C-101B-9397-08002B2CF9AE}" pid="14" name="toc-title">
    <vt:lpwstr>Table of contents</vt:lpwstr>
  </property>
</Properties>
</file>