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D94BF" w14:textId="77777777" w:rsidR="009E368D" w:rsidRDefault="00753A60">
      <w:pPr>
        <w:pStyle w:val="Title"/>
      </w:pPr>
      <w:r>
        <w:t>Supplementary material: Spatiotemporal associations between coastal birds and Pacific herring spawning in British Columbia</w:t>
      </w:r>
    </w:p>
    <w:p w14:paraId="56A03000" w14:textId="77777777" w:rsidR="009E368D" w:rsidRDefault="00753A60">
      <w:pPr>
        <w:pStyle w:val="Subtitle"/>
      </w:pPr>
      <w:r>
        <w:t>Full-length Article; Stage 4A v2 analysis freeze</w:t>
      </w:r>
    </w:p>
    <w:p w14:paraId="5A5E5291" w14:textId="77777777" w:rsidR="009E368D" w:rsidRDefault="00753A60">
      <w:pPr>
        <w:pStyle w:val="Author"/>
      </w:pPr>
      <w:r>
        <w:t>Jacob T. Dingwall</w:t>
      </w:r>
    </w:p>
    <w:sdt>
      <w:sdtPr>
        <w:rPr>
          <w:rFonts w:asciiTheme="minorHAnsi" w:eastAsiaTheme="minorHAnsi" w:hAnsiTheme="minorHAnsi" w:cstheme="minorBidi"/>
          <w:color w:val="auto"/>
          <w:sz w:val="24"/>
          <w:szCs w:val="24"/>
        </w:rPr>
        <w:id w:val="965781873"/>
        <w:docPartObj>
          <w:docPartGallery w:val="Table of Contents"/>
          <w:docPartUnique/>
        </w:docPartObj>
      </w:sdtPr>
      <w:sdtEndPr/>
      <w:sdtContent>
        <w:p w14:paraId="6F926FAC" w14:textId="77777777" w:rsidR="009E368D" w:rsidRDefault="00753A60">
          <w:pPr>
            <w:pStyle w:val="TOCHeading"/>
          </w:pPr>
          <w:r>
            <w:t>Table of contents</w:t>
          </w:r>
        </w:p>
        <w:p w14:paraId="5FD30202" w14:textId="77777777" w:rsidR="00934263" w:rsidRDefault="00753A60">
          <w:pPr>
            <w:pStyle w:val="TOC1"/>
            <w:tabs>
              <w:tab w:val="right" w:leader="dot" w:pos="9350"/>
            </w:tabs>
            <w:rPr>
              <w:noProof/>
            </w:rPr>
          </w:pPr>
          <w:r>
            <w:fldChar w:fldCharType="begin"/>
          </w:r>
          <w:r>
            <w:instrText>TOC \o "1-3" \h \z \u</w:instrText>
          </w:r>
          <w:r>
            <w:fldChar w:fldCharType="separate"/>
          </w:r>
          <w:hyperlink w:anchor="_Toc235623295" w:history="1">
            <w:r w:rsidR="00934263" w:rsidRPr="00831743">
              <w:rPr>
                <w:rStyle w:val="Hyperlink"/>
                <w:noProof/>
              </w:rPr>
              <w:t>1. Supplement scope</w:t>
            </w:r>
            <w:r w:rsidR="00934263">
              <w:rPr>
                <w:noProof/>
                <w:webHidden/>
              </w:rPr>
              <w:tab/>
            </w:r>
            <w:r w:rsidR="00934263">
              <w:rPr>
                <w:noProof/>
                <w:webHidden/>
              </w:rPr>
              <w:fldChar w:fldCharType="begin"/>
            </w:r>
            <w:r w:rsidR="00934263">
              <w:rPr>
                <w:noProof/>
                <w:webHidden/>
              </w:rPr>
              <w:instrText xml:space="preserve"> PAGEREF _Toc235623295 \h </w:instrText>
            </w:r>
            <w:r w:rsidR="00934263">
              <w:rPr>
                <w:noProof/>
                <w:webHidden/>
              </w:rPr>
            </w:r>
            <w:r w:rsidR="00934263">
              <w:rPr>
                <w:noProof/>
                <w:webHidden/>
              </w:rPr>
              <w:fldChar w:fldCharType="separate"/>
            </w:r>
            <w:r w:rsidR="00934263">
              <w:rPr>
                <w:noProof/>
                <w:webHidden/>
              </w:rPr>
              <w:t>1</w:t>
            </w:r>
            <w:r w:rsidR="00934263">
              <w:rPr>
                <w:noProof/>
                <w:webHidden/>
              </w:rPr>
              <w:fldChar w:fldCharType="end"/>
            </w:r>
          </w:hyperlink>
        </w:p>
        <w:p w14:paraId="3D00EF8D" w14:textId="77777777" w:rsidR="00934263" w:rsidRDefault="00934263">
          <w:pPr>
            <w:pStyle w:val="TOC1"/>
            <w:tabs>
              <w:tab w:val="right" w:leader="dot" w:pos="9350"/>
            </w:tabs>
            <w:rPr>
              <w:noProof/>
            </w:rPr>
          </w:pPr>
          <w:hyperlink w:anchor="_Toc235623296" w:history="1">
            <w:r w:rsidRPr="00831743">
              <w:rPr>
                <w:rStyle w:val="Hyperlink"/>
                <w:noProof/>
              </w:rPr>
              <w:t>2. Registered analysis and model disposition</w:t>
            </w:r>
            <w:r>
              <w:rPr>
                <w:noProof/>
                <w:webHidden/>
              </w:rPr>
              <w:tab/>
            </w:r>
            <w:r>
              <w:rPr>
                <w:noProof/>
                <w:webHidden/>
              </w:rPr>
              <w:fldChar w:fldCharType="begin"/>
            </w:r>
            <w:r>
              <w:rPr>
                <w:noProof/>
                <w:webHidden/>
              </w:rPr>
              <w:instrText xml:space="preserve"> PAGEREF _Toc235623296 \h </w:instrText>
            </w:r>
            <w:r>
              <w:rPr>
                <w:noProof/>
                <w:webHidden/>
              </w:rPr>
            </w:r>
            <w:r>
              <w:rPr>
                <w:noProof/>
                <w:webHidden/>
              </w:rPr>
              <w:fldChar w:fldCharType="separate"/>
            </w:r>
            <w:r>
              <w:rPr>
                <w:noProof/>
                <w:webHidden/>
              </w:rPr>
              <w:t>2</w:t>
            </w:r>
            <w:r>
              <w:rPr>
                <w:noProof/>
                <w:webHidden/>
              </w:rPr>
              <w:fldChar w:fldCharType="end"/>
            </w:r>
          </w:hyperlink>
        </w:p>
        <w:p w14:paraId="67F2D27B" w14:textId="77777777" w:rsidR="00934263" w:rsidRDefault="00934263">
          <w:pPr>
            <w:pStyle w:val="TOC1"/>
            <w:tabs>
              <w:tab w:val="right" w:leader="dot" w:pos="9350"/>
            </w:tabs>
            <w:rPr>
              <w:noProof/>
            </w:rPr>
          </w:pPr>
          <w:hyperlink w:anchor="_Toc235623297" w:history="1">
            <w:r w:rsidRPr="00831743">
              <w:rPr>
                <w:rStyle w:val="Hyperlink"/>
                <w:noProof/>
              </w:rPr>
              <w:t>3. Response construction and observation states</w:t>
            </w:r>
            <w:r>
              <w:rPr>
                <w:noProof/>
                <w:webHidden/>
              </w:rPr>
              <w:tab/>
            </w:r>
            <w:r>
              <w:rPr>
                <w:noProof/>
                <w:webHidden/>
              </w:rPr>
              <w:fldChar w:fldCharType="begin"/>
            </w:r>
            <w:r>
              <w:rPr>
                <w:noProof/>
                <w:webHidden/>
              </w:rPr>
              <w:instrText xml:space="preserve"> PAGEREF _Toc235623297 \h </w:instrText>
            </w:r>
            <w:r>
              <w:rPr>
                <w:noProof/>
                <w:webHidden/>
              </w:rPr>
            </w:r>
            <w:r>
              <w:rPr>
                <w:noProof/>
                <w:webHidden/>
              </w:rPr>
              <w:fldChar w:fldCharType="separate"/>
            </w:r>
            <w:r>
              <w:rPr>
                <w:noProof/>
                <w:webHidden/>
              </w:rPr>
              <w:t>2</w:t>
            </w:r>
            <w:r>
              <w:rPr>
                <w:noProof/>
                <w:webHidden/>
              </w:rPr>
              <w:fldChar w:fldCharType="end"/>
            </w:r>
          </w:hyperlink>
        </w:p>
        <w:p w14:paraId="6981A5DA" w14:textId="77777777" w:rsidR="00934263" w:rsidRDefault="00934263">
          <w:pPr>
            <w:pStyle w:val="TOC1"/>
            <w:tabs>
              <w:tab w:val="right" w:leader="dot" w:pos="9350"/>
            </w:tabs>
            <w:rPr>
              <w:noProof/>
            </w:rPr>
          </w:pPr>
          <w:hyperlink w:anchor="_Toc235623298" w:history="1">
            <w:r w:rsidRPr="00831743">
              <w:rPr>
                <w:rStyle w:val="Hyperlink"/>
                <w:noProof/>
              </w:rPr>
              <w:t>4. Event-time results</w:t>
            </w:r>
            <w:r>
              <w:rPr>
                <w:noProof/>
                <w:webHidden/>
              </w:rPr>
              <w:tab/>
            </w:r>
            <w:r>
              <w:rPr>
                <w:noProof/>
                <w:webHidden/>
              </w:rPr>
              <w:fldChar w:fldCharType="begin"/>
            </w:r>
            <w:r>
              <w:rPr>
                <w:noProof/>
                <w:webHidden/>
              </w:rPr>
              <w:instrText xml:space="preserve"> PAGEREF _Toc235623298 \h </w:instrText>
            </w:r>
            <w:r>
              <w:rPr>
                <w:noProof/>
                <w:webHidden/>
              </w:rPr>
            </w:r>
            <w:r>
              <w:rPr>
                <w:noProof/>
                <w:webHidden/>
              </w:rPr>
              <w:fldChar w:fldCharType="separate"/>
            </w:r>
            <w:r>
              <w:rPr>
                <w:noProof/>
                <w:webHidden/>
              </w:rPr>
              <w:t>2</w:t>
            </w:r>
            <w:r>
              <w:rPr>
                <w:noProof/>
                <w:webHidden/>
              </w:rPr>
              <w:fldChar w:fldCharType="end"/>
            </w:r>
          </w:hyperlink>
        </w:p>
        <w:p w14:paraId="2DC48EFD" w14:textId="77777777" w:rsidR="00934263" w:rsidRDefault="00934263">
          <w:pPr>
            <w:pStyle w:val="TOC1"/>
            <w:tabs>
              <w:tab w:val="right" w:leader="dot" w:pos="9350"/>
            </w:tabs>
            <w:rPr>
              <w:noProof/>
            </w:rPr>
          </w:pPr>
          <w:hyperlink w:anchor="_Toc235623299" w:history="1">
            <w:r w:rsidRPr="00831743">
              <w:rPr>
                <w:rStyle w:val="Hyperlink"/>
                <w:noProof/>
              </w:rPr>
              <w:t>5. Partial-pooling repair</w:t>
            </w:r>
            <w:r>
              <w:rPr>
                <w:noProof/>
                <w:webHidden/>
              </w:rPr>
              <w:tab/>
            </w:r>
            <w:r>
              <w:rPr>
                <w:noProof/>
                <w:webHidden/>
              </w:rPr>
              <w:fldChar w:fldCharType="begin"/>
            </w:r>
            <w:r>
              <w:rPr>
                <w:noProof/>
                <w:webHidden/>
              </w:rPr>
              <w:instrText xml:space="preserve"> PAGEREF _Toc235623299 \h </w:instrText>
            </w:r>
            <w:r>
              <w:rPr>
                <w:noProof/>
                <w:webHidden/>
              </w:rPr>
            </w:r>
            <w:r>
              <w:rPr>
                <w:noProof/>
                <w:webHidden/>
              </w:rPr>
              <w:fldChar w:fldCharType="separate"/>
            </w:r>
            <w:r>
              <w:rPr>
                <w:noProof/>
                <w:webHidden/>
              </w:rPr>
              <w:t>4</w:t>
            </w:r>
            <w:r>
              <w:rPr>
                <w:noProof/>
                <w:webHidden/>
              </w:rPr>
              <w:fldChar w:fldCharType="end"/>
            </w:r>
          </w:hyperlink>
        </w:p>
        <w:p w14:paraId="68AE3DE0" w14:textId="77777777" w:rsidR="00934263" w:rsidRDefault="00934263">
          <w:pPr>
            <w:pStyle w:val="TOC1"/>
            <w:tabs>
              <w:tab w:val="right" w:leader="dot" w:pos="9350"/>
            </w:tabs>
            <w:rPr>
              <w:noProof/>
            </w:rPr>
          </w:pPr>
          <w:hyperlink w:anchor="_Toc235623300" w:history="1">
            <w:r w:rsidRPr="00831743">
              <w:rPr>
                <w:rStyle w:val="Hyperlink"/>
                <w:noProof/>
              </w:rPr>
              <w:t>6. Singular-fit component audit</w:t>
            </w:r>
            <w:r>
              <w:rPr>
                <w:noProof/>
                <w:webHidden/>
              </w:rPr>
              <w:tab/>
            </w:r>
            <w:r>
              <w:rPr>
                <w:noProof/>
                <w:webHidden/>
              </w:rPr>
              <w:fldChar w:fldCharType="begin"/>
            </w:r>
            <w:r>
              <w:rPr>
                <w:noProof/>
                <w:webHidden/>
              </w:rPr>
              <w:instrText xml:space="preserve"> PAGEREF _Toc235623300 \h </w:instrText>
            </w:r>
            <w:r>
              <w:rPr>
                <w:noProof/>
                <w:webHidden/>
              </w:rPr>
            </w:r>
            <w:r>
              <w:rPr>
                <w:noProof/>
                <w:webHidden/>
              </w:rPr>
              <w:fldChar w:fldCharType="separate"/>
            </w:r>
            <w:r>
              <w:rPr>
                <w:noProof/>
                <w:webHidden/>
              </w:rPr>
              <w:t>5</w:t>
            </w:r>
            <w:r>
              <w:rPr>
                <w:noProof/>
                <w:webHidden/>
              </w:rPr>
              <w:fldChar w:fldCharType="end"/>
            </w:r>
          </w:hyperlink>
        </w:p>
        <w:p w14:paraId="7F889C87" w14:textId="77777777" w:rsidR="00934263" w:rsidRDefault="00934263">
          <w:pPr>
            <w:pStyle w:val="TOC1"/>
            <w:tabs>
              <w:tab w:val="right" w:leader="dot" w:pos="9350"/>
            </w:tabs>
            <w:rPr>
              <w:noProof/>
            </w:rPr>
          </w:pPr>
          <w:hyperlink w:anchor="_Toc235623301" w:history="1">
            <w:r w:rsidRPr="00831743">
              <w:rPr>
                <w:rStyle w:val="Hyperlink"/>
                <w:noProof/>
              </w:rPr>
              <w:t>7. Placebo and matched sensitivity details</w:t>
            </w:r>
            <w:r>
              <w:rPr>
                <w:noProof/>
                <w:webHidden/>
              </w:rPr>
              <w:tab/>
            </w:r>
            <w:r>
              <w:rPr>
                <w:noProof/>
                <w:webHidden/>
              </w:rPr>
              <w:fldChar w:fldCharType="begin"/>
            </w:r>
            <w:r>
              <w:rPr>
                <w:noProof/>
                <w:webHidden/>
              </w:rPr>
              <w:instrText xml:space="preserve"> PAGEREF _Toc235623301 \h </w:instrText>
            </w:r>
            <w:r>
              <w:rPr>
                <w:noProof/>
                <w:webHidden/>
              </w:rPr>
            </w:r>
            <w:r>
              <w:rPr>
                <w:noProof/>
                <w:webHidden/>
              </w:rPr>
              <w:fldChar w:fldCharType="separate"/>
            </w:r>
            <w:r>
              <w:rPr>
                <w:noProof/>
                <w:webHidden/>
              </w:rPr>
              <w:t>6</w:t>
            </w:r>
            <w:r>
              <w:rPr>
                <w:noProof/>
                <w:webHidden/>
              </w:rPr>
              <w:fldChar w:fldCharType="end"/>
            </w:r>
          </w:hyperlink>
        </w:p>
        <w:p w14:paraId="36E9E54C" w14:textId="77777777" w:rsidR="00934263" w:rsidRDefault="00934263">
          <w:pPr>
            <w:pStyle w:val="TOC1"/>
            <w:tabs>
              <w:tab w:val="right" w:leader="dot" w:pos="9350"/>
            </w:tabs>
            <w:rPr>
              <w:noProof/>
            </w:rPr>
          </w:pPr>
          <w:hyperlink w:anchor="_Toc235623302" w:history="1">
            <w:r w:rsidRPr="00831743">
              <w:rPr>
                <w:rStyle w:val="Hyperlink"/>
                <w:noProof/>
              </w:rPr>
              <w:t>8. Strait of Georgia specificity/falsification audit</w:t>
            </w:r>
            <w:r>
              <w:rPr>
                <w:noProof/>
                <w:webHidden/>
              </w:rPr>
              <w:tab/>
            </w:r>
            <w:r>
              <w:rPr>
                <w:noProof/>
                <w:webHidden/>
              </w:rPr>
              <w:fldChar w:fldCharType="begin"/>
            </w:r>
            <w:r>
              <w:rPr>
                <w:noProof/>
                <w:webHidden/>
              </w:rPr>
              <w:instrText xml:space="preserve"> PAGEREF _Toc235623302 \h </w:instrText>
            </w:r>
            <w:r>
              <w:rPr>
                <w:noProof/>
                <w:webHidden/>
              </w:rPr>
            </w:r>
            <w:r>
              <w:rPr>
                <w:noProof/>
                <w:webHidden/>
              </w:rPr>
              <w:fldChar w:fldCharType="separate"/>
            </w:r>
            <w:r>
              <w:rPr>
                <w:noProof/>
                <w:webHidden/>
              </w:rPr>
              <w:t>7</w:t>
            </w:r>
            <w:r>
              <w:rPr>
                <w:noProof/>
                <w:webHidden/>
              </w:rPr>
              <w:fldChar w:fldCharType="end"/>
            </w:r>
          </w:hyperlink>
        </w:p>
        <w:p w14:paraId="460E70FF" w14:textId="77777777" w:rsidR="00934263" w:rsidRDefault="00934263">
          <w:pPr>
            <w:pStyle w:val="TOC1"/>
            <w:tabs>
              <w:tab w:val="right" w:leader="dot" w:pos="9350"/>
            </w:tabs>
            <w:rPr>
              <w:noProof/>
            </w:rPr>
          </w:pPr>
          <w:hyperlink w:anchor="_Toc235623303" w:history="1">
            <w:r w:rsidRPr="00831743">
              <w:rPr>
                <w:rStyle w:val="Hyperlink"/>
                <w:noProof/>
              </w:rPr>
              <w:t>9. DFO monitoring, exposure classification, and regional interpretation</w:t>
            </w:r>
            <w:r>
              <w:rPr>
                <w:noProof/>
                <w:webHidden/>
              </w:rPr>
              <w:tab/>
            </w:r>
            <w:r>
              <w:rPr>
                <w:noProof/>
                <w:webHidden/>
              </w:rPr>
              <w:fldChar w:fldCharType="begin"/>
            </w:r>
            <w:r>
              <w:rPr>
                <w:noProof/>
                <w:webHidden/>
              </w:rPr>
              <w:instrText xml:space="preserve"> PAGEREF _Toc235623303 \h </w:instrText>
            </w:r>
            <w:r>
              <w:rPr>
                <w:noProof/>
                <w:webHidden/>
              </w:rPr>
            </w:r>
            <w:r>
              <w:rPr>
                <w:noProof/>
                <w:webHidden/>
              </w:rPr>
              <w:fldChar w:fldCharType="separate"/>
            </w:r>
            <w:r>
              <w:rPr>
                <w:noProof/>
                <w:webHidden/>
              </w:rPr>
              <w:t>8</w:t>
            </w:r>
            <w:r>
              <w:rPr>
                <w:noProof/>
                <w:webHidden/>
              </w:rPr>
              <w:fldChar w:fldCharType="end"/>
            </w:r>
          </w:hyperlink>
        </w:p>
        <w:p w14:paraId="3311BF0E" w14:textId="77777777" w:rsidR="00934263" w:rsidRDefault="00934263">
          <w:pPr>
            <w:pStyle w:val="TOC1"/>
            <w:tabs>
              <w:tab w:val="right" w:leader="dot" w:pos="9350"/>
            </w:tabs>
            <w:rPr>
              <w:noProof/>
            </w:rPr>
          </w:pPr>
          <w:hyperlink w:anchor="_Toc235623304" w:history="1">
            <w:r w:rsidRPr="00831743">
              <w:rPr>
                <w:rStyle w:val="Hyperlink"/>
                <w:noProof/>
              </w:rPr>
              <w:t>10. Reproducibility, provenance, and artifact hashes</w:t>
            </w:r>
            <w:r>
              <w:rPr>
                <w:noProof/>
                <w:webHidden/>
              </w:rPr>
              <w:tab/>
            </w:r>
            <w:r>
              <w:rPr>
                <w:noProof/>
                <w:webHidden/>
              </w:rPr>
              <w:fldChar w:fldCharType="begin"/>
            </w:r>
            <w:r>
              <w:rPr>
                <w:noProof/>
                <w:webHidden/>
              </w:rPr>
              <w:instrText xml:space="preserve"> PAGEREF _Toc235623304 \h </w:instrText>
            </w:r>
            <w:r>
              <w:rPr>
                <w:noProof/>
                <w:webHidden/>
              </w:rPr>
            </w:r>
            <w:r>
              <w:rPr>
                <w:noProof/>
                <w:webHidden/>
              </w:rPr>
              <w:fldChar w:fldCharType="separate"/>
            </w:r>
            <w:r>
              <w:rPr>
                <w:noProof/>
                <w:webHidden/>
              </w:rPr>
              <w:t>8</w:t>
            </w:r>
            <w:r>
              <w:rPr>
                <w:noProof/>
                <w:webHidden/>
              </w:rPr>
              <w:fldChar w:fldCharType="end"/>
            </w:r>
          </w:hyperlink>
        </w:p>
        <w:p w14:paraId="4ADB3C73" w14:textId="77777777" w:rsidR="00934263" w:rsidRDefault="00934263">
          <w:pPr>
            <w:pStyle w:val="TOC1"/>
            <w:tabs>
              <w:tab w:val="right" w:leader="dot" w:pos="9350"/>
            </w:tabs>
            <w:rPr>
              <w:noProof/>
            </w:rPr>
          </w:pPr>
          <w:hyperlink w:anchor="_Toc235623305" w:history="1">
            <w:r w:rsidRPr="00831743">
              <w:rPr>
                <w:rStyle w:val="Hyperlink"/>
                <w:noProof/>
              </w:rPr>
              <w:t>11. References</w:t>
            </w:r>
            <w:r>
              <w:rPr>
                <w:noProof/>
                <w:webHidden/>
              </w:rPr>
              <w:tab/>
            </w:r>
            <w:r>
              <w:rPr>
                <w:noProof/>
                <w:webHidden/>
              </w:rPr>
              <w:fldChar w:fldCharType="begin"/>
            </w:r>
            <w:r>
              <w:rPr>
                <w:noProof/>
                <w:webHidden/>
              </w:rPr>
              <w:instrText xml:space="preserve"> PAGEREF _Toc235623305 \h </w:instrText>
            </w:r>
            <w:r>
              <w:rPr>
                <w:noProof/>
                <w:webHidden/>
              </w:rPr>
            </w:r>
            <w:r>
              <w:rPr>
                <w:noProof/>
                <w:webHidden/>
              </w:rPr>
              <w:fldChar w:fldCharType="separate"/>
            </w:r>
            <w:r>
              <w:rPr>
                <w:noProof/>
                <w:webHidden/>
              </w:rPr>
              <w:t>8</w:t>
            </w:r>
            <w:r>
              <w:rPr>
                <w:noProof/>
                <w:webHidden/>
              </w:rPr>
              <w:fldChar w:fldCharType="end"/>
            </w:r>
          </w:hyperlink>
        </w:p>
        <w:p w14:paraId="57AAE2BD" w14:textId="77777777" w:rsidR="009E368D" w:rsidRDefault="00753A60">
          <w:r>
            <w:fldChar w:fldCharType="end"/>
          </w:r>
        </w:p>
      </w:sdtContent>
    </w:sdt>
    <w:p w14:paraId="51C95A21" w14:textId="77777777" w:rsidR="009E368D" w:rsidRDefault="00753A60">
      <w:pPr>
        <w:pStyle w:val="Heading1"/>
      </w:pPr>
      <w:bookmarkStart w:id="0" w:name="supplement-scope"/>
      <w:bookmarkStart w:id="1" w:name="_Toc235623295"/>
      <w:r>
        <w:t>1. Supplement scope</w:t>
      </w:r>
      <w:bookmarkEnd w:id="1"/>
    </w:p>
    <w:p w14:paraId="34938C4A" w14:textId="77777777" w:rsidR="009E368D" w:rsidRDefault="00753A60">
      <w:pPr>
        <w:pStyle w:val="FirstParagraph"/>
      </w:pPr>
      <w:r>
        <w:t>This supplement documents the complete registered Stage 4A v2 publication evidence without refitting a response model. Machine-readable companion tables are the authoritative detailed results. They retain every registered row, warning, explicit NA reason, deterministic key, and source hash needed to audit the manuscript. No source checklist, observer identity, exact locality, exact coordinate, event token, or transformation mapping is included.</w:t>
      </w:r>
    </w:p>
    <w:p w14:paraId="1B79C6BB" w14:textId="77777777" w:rsidR="009E368D" w:rsidRDefault="00753A60">
      <w:pPr>
        <w:pStyle w:val="BodyText"/>
      </w:pPr>
      <w:r>
        <w:t xml:space="preserve">The analysis-freeze commit is </w:t>
      </w:r>
      <w:r>
        <w:rPr>
          <w:rStyle w:val="VerbatimChar"/>
        </w:rPr>
        <w:t>c54b8e7f95a2fe3573e2e38633079cd223c5a783</w:t>
      </w:r>
      <w:r>
        <w:t xml:space="preserve">, tagged </w:t>
      </w:r>
      <w:r>
        <w:rPr>
          <w:rStyle w:val="VerbatimChar"/>
        </w:rPr>
        <w:t>stage4a-publication-v2-analysis-freeze</w:t>
      </w:r>
      <w:r>
        <w:t>. The manuscript branch changes only publication text, audit tables, rendered documents, and formatting artifacts.</w:t>
      </w:r>
    </w:p>
    <w:p w14:paraId="29C9B13A" w14:textId="77777777" w:rsidR="009E368D" w:rsidRDefault="00753A60">
      <w:pPr>
        <w:pStyle w:val="BodyText"/>
      </w:pPr>
      <w:r>
        <w:lastRenderedPageBreak/>
        <w:t>Supplementary Table S11 (</w:t>
      </w:r>
      <w:r>
        <w:rPr>
          <w:rStyle w:val="VerbatimChar"/>
        </w:rPr>
        <w:t>Table_S11.csv</w:t>
      </w:r>
      <w:r>
        <w:t>) records the four frozen regional checklist populations and their inferential roles. The same checklist frame supports multiple taxon outcomes, so the counts are not summed across taxa.</w:t>
      </w:r>
    </w:p>
    <w:p w14:paraId="39A0C7E0" w14:textId="77777777" w:rsidR="009E368D" w:rsidRDefault="00753A60">
      <w:pPr>
        <w:pStyle w:val="Heading1"/>
      </w:pPr>
      <w:bookmarkStart w:id="2" w:name="X656b43efa51a1217ae39c70b2dc1665cc91df8e"/>
      <w:bookmarkStart w:id="3" w:name="_Toc235623296"/>
      <w:bookmarkEnd w:id="0"/>
      <w:r>
        <w:t>2. Registered analysis and model disposition</w:t>
      </w:r>
      <w:bookmarkEnd w:id="3"/>
    </w:p>
    <w:p w14:paraId="6820B2FD" w14:textId="77777777" w:rsidR="009E368D" w:rsidRDefault="00753A60">
      <w:pPr>
        <w:pStyle w:val="FirstParagraph"/>
      </w:pPr>
      <w:r>
        <w:t>Supplementary Table S1 (</w:t>
      </w:r>
      <w:r>
        <w:rPr>
          <w:rStyle w:val="VerbatimChar"/>
        </w:rPr>
        <w:t>Table_S1.csv</w:t>
      </w:r>
      <w:r>
        <w:t>) lists every historical model relevant to the publication package and its disposition. M26 v1 is historical only and retired without replacement. M27/M28 v1 and the earlier unmatched WCVI sensitivities are superseded by their matched v2 implementations. This disposition does not change the historical registry.</w:t>
      </w:r>
    </w:p>
    <w:p w14:paraId="497F9337" w14:textId="77777777" w:rsidR="009E368D" w:rsidRDefault="00753A60">
      <w:pPr>
        <w:pStyle w:val="BodyText"/>
      </w:pPr>
      <w:r>
        <w:t>Supplementary Table S2 (</w:t>
      </w:r>
      <w:r>
        <w:rPr>
          <w:rStyle w:val="VerbatimChar"/>
        </w:rPr>
        <w:t>Table_S2.csv</w:t>
      </w:r>
      <w:r>
        <w:t xml:space="preserve">) is the full privacy-safe individual-estimate release. It includes all activated species, guild, region, outcome, contrast, coefficient, standard error, interval, p-value, model-specific BH q-value, fit status, and historical pooling fields. The M02 active-near subset contains all 196 region-outcome representations for 49 support-qualified species, including one explicit noncompleted row. Historical v1 </w:t>
      </w:r>
      <w:r>
        <w:rPr>
          <w:rStyle w:val="VerbatimChar"/>
        </w:rPr>
        <w:t>partial_pool_*</w:t>
      </w:r>
      <w:r>
        <w:t xml:space="preserve"> </w:t>
      </w:r>
      <w:r>
        <w:t>values are not used for inference; their authoritative invalidation and v2 replacement are described below.</w:t>
      </w:r>
    </w:p>
    <w:p w14:paraId="3E3F6FC2" w14:textId="77777777" w:rsidR="009E368D" w:rsidRDefault="00753A60">
      <w:pPr>
        <w:pStyle w:val="Heading1"/>
      </w:pPr>
      <w:bookmarkStart w:id="4" w:name="X0f0d9d136cb8878ee4d7a1d8578536852e2671e"/>
      <w:bookmarkStart w:id="5" w:name="_Toc235623297"/>
      <w:bookmarkEnd w:id="2"/>
      <w:r>
        <w:t>3. Response construction and observation states</w:t>
      </w:r>
      <w:bookmarkEnd w:id="5"/>
    </w:p>
    <w:p w14:paraId="22AF49F5" w14:textId="77777777" w:rsidR="009E368D" w:rsidRDefault="00753A60">
      <w:pPr>
        <w:pStyle w:val="FirstParagraph"/>
      </w:pPr>
      <w:r>
        <w:t xml:space="preserve">The factorized denominator distinguishes detection, positive numeric count, unquantified </w:t>
      </w:r>
      <w:r>
        <w:rPr>
          <w:rStyle w:val="VerbatimChar"/>
        </w:rPr>
        <w:t>X</w:t>
      </w:r>
      <w:r>
        <w:t xml:space="preserve">, lower-bound count, ambiguity, and deterministic omission zero. A deterministic zero exists only when an eligible complete checklist did not report the taxon and no ambiguity mask made the state structurally unknown. </w:t>
      </w:r>
      <w:r>
        <w:rPr>
          <w:rStyle w:val="VerbatimChar"/>
        </w:rPr>
        <w:t>X</w:t>
      </w:r>
      <w:r>
        <w:t xml:space="preserve"> </w:t>
      </w:r>
      <w:r>
        <w:t>contributes only to detection. Positive numeric count is conditional on a finite positive report and therefore cannot be interpreted as total abundance or biomass.</w:t>
      </w:r>
    </w:p>
    <w:p w14:paraId="39B505BC" w14:textId="77777777" w:rsidR="009E368D" w:rsidRDefault="00753A60">
      <w:pPr>
        <w:pStyle w:val="BodyText"/>
      </w:pPr>
      <w:r>
        <w:t>Complete-checklist eligibility was restricted to stationary or traveling protocols, 5-300 minutes, no more than 5 km traveled, one to ten observers, and the registered region-specific period through 2025. All concurrent eligible event links were encoded additively in one checklist row. No checklist was duplicated as an independent row for each link.</w:t>
      </w:r>
    </w:p>
    <w:p w14:paraId="70A9CCF1" w14:textId="77777777" w:rsidR="009E368D" w:rsidRDefault="00753A60">
      <w:pPr>
        <w:pStyle w:val="Heading1"/>
      </w:pPr>
      <w:bookmarkStart w:id="6" w:name="event-time-results"/>
      <w:bookmarkStart w:id="7" w:name="_Toc235623298"/>
      <w:bookmarkEnd w:id="4"/>
      <w:r>
        <w:t>4. Event-time results</w:t>
      </w:r>
      <w:bookmarkEnd w:id="7"/>
    </w:p>
    <w:p w14:paraId="3D283CFA" w14:textId="77777777" w:rsidR="009E368D" w:rsidRDefault="00753A60">
      <w:pPr>
        <w:pStyle w:val="FirstParagraph"/>
      </w:pPr>
      <w:r>
        <w:t>Supplementary Table S3 (</w:t>
      </w:r>
      <w:r>
        <w:rPr>
          <w:rStyle w:val="VerbatimChar"/>
        </w:rPr>
        <w:t>Table_S3.csv</w:t>
      </w:r>
      <w:r>
        <w:t>) contains all 160 registered M05 rows: eight guilds, two regions, two hurdle components, and five discrete windows. Individual and compatible-family v2 posterior estimates are shown together with their uncertainty, model-specific BH q-values, component-evidence IDs, and pooling reason codes.</w:t>
      </w:r>
    </w:p>
    <w:p w14:paraId="4BB80D60" w14:textId="77777777" w:rsidR="009E368D" w:rsidRDefault="00753A60">
      <w:pPr>
        <w:pStyle w:val="BodyText"/>
      </w:pPr>
      <w:r>
        <w:rPr>
          <w:noProof/>
        </w:rPr>
        <w:lastRenderedPageBreak/>
        <w:drawing>
          <wp:inline distT="0" distB="0" distL="0" distR="0" wp14:anchorId="56A53FC2" wp14:editId="1C8BC906">
            <wp:extent cx="5334000" cy="64008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ure_S1.png"/>
                    <pic:cNvPicPr>
                      <a:picLocks noChangeAspect="1" noChangeArrowheads="1"/>
                    </pic:cNvPicPr>
                  </pic:nvPicPr>
                  <pic:blipFill>
                    <a:blip r:embed="rId7"/>
                    <a:stretch>
                      <a:fillRect/>
                    </a:stretch>
                  </pic:blipFill>
                  <pic:spPr bwMode="auto">
                    <a:xfrm>
                      <a:off x="0" y="0"/>
                      <a:ext cx="5334000" cy="6400800"/>
                    </a:xfrm>
                    <a:prstGeom prst="rect">
                      <a:avLst/>
                    </a:prstGeom>
                    <a:noFill/>
                    <a:ln w="9525">
                      <a:noFill/>
                      <a:headEnd/>
                      <a:tailEnd/>
                    </a:ln>
                  </pic:spPr>
                </pic:pic>
              </a:graphicData>
            </a:graphic>
          </wp:inline>
        </w:drawing>
      </w:r>
    </w:p>
    <w:p w14:paraId="6EE5EB72" w14:textId="77777777" w:rsidR="009E368D" w:rsidRDefault="00753A60">
      <w:pPr>
        <w:pStyle w:val="BodyText"/>
      </w:pPr>
      <w:r>
        <w:rPr>
          <w:b/>
          <w:bCs/>
        </w:rPr>
        <w:t>Supplementary Figure S1. Confidence intervals for all 49 support-qualified species.</w:t>
      </w:r>
      <w:r>
        <w:t xml:space="preserve"> </w:t>
      </w:r>
      <w:r>
        <w:t>Every completed M02 active-near estimate and 95% confidence interval is shown across both regions and response components. Filled points denote BH q &lt; 0.05. A symmetric pseudo-log axis preserves sign while accommodating the full interval range; the noncompleted component remains explicit NA in Figure 2 and Supplementary Table S2.</w:t>
      </w:r>
    </w:p>
    <w:p w14:paraId="058670E0" w14:textId="77777777" w:rsidR="009E368D" w:rsidRDefault="00753A60">
      <w:pPr>
        <w:pStyle w:val="Heading1"/>
      </w:pPr>
      <w:bookmarkStart w:id="8" w:name="partial-pooling-repair"/>
      <w:bookmarkStart w:id="9" w:name="_Toc235623299"/>
      <w:bookmarkEnd w:id="6"/>
      <w:r>
        <w:t>5. Partial-pooling repair</w:t>
      </w:r>
      <w:bookmarkEnd w:id="9"/>
    </w:p>
    <w:p w14:paraId="11A4E99D" w14:textId="77777777" w:rsidR="009E368D" w:rsidRDefault="00753A60">
      <w:pPr>
        <w:pStyle w:val="FirstParagraph"/>
      </w:pPr>
      <w:r>
        <w:t xml:space="preserve">The historical v1 pooling implementation mixed incompatible family identities and could retain duplicate M11/M12 representations as if they were independent evidence. An early aggregate audit found 4,890 rows in 84 families, but that parser globally treated </w:t>
      </w:r>
      <w:r>
        <w:rPr>
          <w:rStyle w:val="VerbatimChar"/>
        </w:rPr>
        <w:t>NA</w:t>
      </w:r>
      <w:r>
        <w:t xml:space="preserve"> as missing and therefore omitted the registered North-region literal code. The authoritative typed audit covers 6,562 finite v1 rows in 112 historical families.</w:t>
      </w:r>
    </w:p>
    <w:p w14:paraId="7EA2F443" w14:textId="77777777" w:rsidR="009E368D" w:rsidRDefault="00753A60">
      <w:pPr>
        <w:pStyle w:val="BodyText"/>
      </w:pPr>
      <w:r>
        <w:t>Column-specific parsing preserves categorical identities and applies missingness rules only to numeric fields. Compatible families may not mix model, estimand, response state, unit class, scale, exposure, window, buffer, population, adjustment set, or coefficient meaning. The frozen normal-normal empirical-Bayes method-of-moments estimator produced 162 compatible and estimable v2 families. The repair yielded 6,085 v2 posterior rows, retained 439 duplicate M11/M12 representations as explicit NA, and retained</w:t>
      </w:r>
      <w:r>
        <w:t xml:space="preserve"> 38 noncompleted rows as explicit NA. Individual estimates, standard errors, confidence intervals, p-values, and model-specific BH q-values were exactly preserved, and no v1 artifact was modified.</w:t>
      </w:r>
    </w:p>
    <w:p w14:paraId="4C81B270" w14:textId="77777777" w:rsidR="009E368D" w:rsidRDefault="00753A60">
      <w:pPr>
        <w:pStyle w:val="BodyText"/>
      </w:pPr>
      <w:r>
        <w:t>Supplementary Table S4 (</w:t>
      </w:r>
      <w:r>
        <w:rPr>
          <w:rStyle w:val="VerbatimChar"/>
        </w:rPr>
        <w:t>Table_S4.csv</w:t>
      </w:r>
      <w:r>
        <w:t>) contains all 162 compatible pooling families. Supplementary Table S5 (</w:t>
      </w:r>
      <w:r>
        <w:rPr>
          <w:rStyle w:val="VerbatimChar"/>
        </w:rPr>
        <w:t>Table_S5.csv</w:t>
      </w:r>
      <w:r>
        <w:t>) summarizes the three row dispositions; row-level reason codes and crosswalks are in the associated metadata files.</w:t>
      </w:r>
    </w:p>
    <w:p w14:paraId="26A75585" w14:textId="77777777" w:rsidR="009E368D" w:rsidRDefault="00753A60">
      <w:pPr>
        <w:pStyle w:val="BodyText"/>
      </w:pPr>
      <w:r>
        <w:rPr>
          <w:noProof/>
        </w:rPr>
        <w:drawing>
          <wp:inline distT="0" distB="0" distL="0" distR="0" wp14:anchorId="39ABB2F6" wp14:editId="0AFD61A9">
            <wp:extent cx="5334000" cy="26670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igures/Figure_S2.png"/>
                    <pic:cNvPicPr>
                      <a:picLocks noChangeAspect="1" noChangeArrowheads="1"/>
                    </pic:cNvPicPr>
                  </pic:nvPicPr>
                  <pic:blipFill>
                    <a:blip r:embed="rId8"/>
                    <a:stretch>
                      <a:fillRect/>
                    </a:stretch>
                  </pic:blipFill>
                  <pic:spPr bwMode="auto">
                    <a:xfrm>
                      <a:off x="0" y="0"/>
                      <a:ext cx="5334000" cy="2667000"/>
                    </a:xfrm>
                    <a:prstGeom prst="rect">
                      <a:avLst/>
                    </a:prstGeom>
                    <a:noFill/>
                    <a:ln w="9525">
                      <a:noFill/>
                      <a:headEnd/>
                      <a:tailEnd/>
                    </a:ln>
                  </pic:spPr>
                </pic:pic>
              </a:graphicData>
            </a:graphic>
          </wp:inline>
        </w:drawing>
      </w:r>
    </w:p>
    <w:p w14:paraId="7C889931" w14:textId="77777777" w:rsidR="009E368D" w:rsidRDefault="00753A60">
      <w:pPr>
        <w:pStyle w:val="BodyText"/>
      </w:pPr>
      <w:r>
        <w:rPr>
          <w:b/>
          <w:bCs/>
        </w:rPr>
        <w:t>Supplementary Figure S2. Pooling row disposition.</w:t>
      </w:r>
      <w:r>
        <w:t xml:space="preserve"> Excluded duplicate representations and noncompleted rows remain explicit NA rather than zero effects.</w:t>
      </w:r>
    </w:p>
    <w:p w14:paraId="1F69F0C0" w14:textId="77777777" w:rsidR="009E368D" w:rsidRDefault="00753A60">
      <w:pPr>
        <w:pStyle w:val="BodyText"/>
      </w:pPr>
      <w:r>
        <w:rPr>
          <w:noProof/>
        </w:rPr>
        <w:drawing>
          <wp:inline distT="0" distB="0" distL="0" distR="0" wp14:anchorId="35983F27" wp14:editId="2CBB7BD5">
            <wp:extent cx="5334000" cy="2601912"/>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figures/Figure_S3.png"/>
                    <pic:cNvPicPr>
                      <a:picLocks noChangeAspect="1" noChangeArrowheads="1"/>
                    </pic:cNvPicPr>
                  </pic:nvPicPr>
                  <pic:blipFill>
                    <a:blip r:embed="rId9"/>
                    <a:stretch>
                      <a:fillRect/>
                    </a:stretch>
                  </pic:blipFill>
                  <pic:spPr bwMode="auto">
                    <a:xfrm>
                      <a:off x="0" y="0"/>
                      <a:ext cx="5334000" cy="2601912"/>
                    </a:xfrm>
                    <a:prstGeom prst="rect">
                      <a:avLst/>
                    </a:prstGeom>
                    <a:noFill/>
                    <a:ln w="9525">
                      <a:noFill/>
                      <a:headEnd/>
                      <a:tailEnd/>
                    </a:ln>
                  </pic:spPr>
                </pic:pic>
              </a:graphicData>
            </a:graphic>
          </wp:inline>
        </w:drawing>
      </w:r>
    </w:p>
    <w:p w14:paraId="3E45CAA5" w14:textId="77777777" w:rsidR="009E368D" w:rsidRDefault="00753A60">
      <w:pPr>
        <w:pStyle w:val="BodyText"/>
      </w:pPr>
      <w:r>
        <w:rPr>
          <w:b/>
          <w:bCs/>
        </w:rPr>
        <w:t>Supplementary Figure S3. Compatible-family heterogeneity.</w:t>
      </w:r>
      <w:r>
        <w:t xml:space="preserve"> </w:t>
      </w:r>
      <w:r>
        <w:t>The distribution is a diagnostic of the frozen partial-pooling estimator, not a new ecological outcome.</w:t>
      </w:r>
    </w:p>
    <w:p w14:paraId="167BEE11" w14:textId="77777777" w:rsidR="009E368D" w:rsidRDefault="00753A60">
      <w:pPr>
        <w:pStyle w:val="Heading1"/>
      </w:pPr>
      <w:bookmarkStart w:id="10" w:name="singular-fit-component-audit"/>
      <w:bookmarkStart w:id="11" w:name="_Toc235623300"/>
      <w:bookmarkEnd w:id="8"/>
      <w:r>
        <w:t>6. Singular-fit component audit</w:t>
      </w:r>
      <w:bookmarkEnd w:id="11"/>
    </w:p>
    <w:p w14:paraId="2B68B8A6" w14:textId="77777777" w:rsidR="009E368D" w:rsidRDefault="00753A60">
      <w:pPr>
        <w:pStyle w:val="FirstParagraph"/>
      </w:pPr>
      <w:r>
        <w:t>Supplementary Table S6 (</w:t>
      </w:r>
      <w:r>
        <w:rPr>
          <w:rStyle w:val="VerbatimChar"/>
        </w:rPr>
        <w:t>Table_S6.csv</w:t>
      </w:r>
      <w:r>
        <w:t>) contains all 43 completed singular-warning components. The declared diagnostic-to-estimate join is one-to-one on model version, region, guild, and outcome. Every coefficient, standard error, and interval is finite. No component contributes to the repaired partial-pooling families, and no headline claim depends exclusively on a singular component.</w:t>
      </w:r>
    </w:p>
    <w:p w14:paraId="6B80942A" w14:textId="77777777" w:rsidR="009E368D" w:rsidRDefault="00753A60">
      <w:pPr>
        <w:pStyle w:val="BodyText"/>
      </w:pPr>
      <w:r>
        <w:t>The intended structure contained random intercepts for event block, observer cluster, and generalized location cluster. A singular warning means at least one variance term was estimated on the boundary, so the effective fitted structure is simpler. The released diagnostic does not identify the collapsed term. Accordingly, singular matched-reference and sensitivity components are retained in main figures with qualification; placebo components remain diagnostics rather than biological evidence.</w:t>
      </w:r>
    </w:p>
    <w:tbl>
      <w:tblPr>
        <w:tblStyle w:val="Table"/>
        <w:tblW w:w="0" w:type="auto"/>
        <w:tblLook w:val="0020" w:firstRow="1" w:lastRow="0" w:firstColumn="0" w:lastColumn="0" w:noHBand="0" w:noVBand="0"/>
      </w:tblPr>
      <w:tblGrid>
        <w:gridCol w:w="4482"/>
        <w:gridCol w:w="2427"/>
      </w:tblGrid>
      <w:tr w:rsidR="009E368D" w14:paraId="6B6B53AA" w14:textId="77777777" w:rsidTr="009E368D">
        <w:trPr>
          <w:cnfStyle w:val="100000000000" w:firstRow="1" w:lastRow="0" w:firstColumn="0" w:lastColumn="0" w:oddVBand="0" w:evenVBand="0" w:oddHBand="0" w:evenHBand="0" w:firstRowFirstColumn="0" w:firstRowLastColumn="0" w:lastRowFirstColumn="0" w:lastRowLastColumn="0"/>
          <w:tblHeader/>
        </w:trPr>
        <w:tc>
          <w:tcPr>
            <w:tcW w:w="0" w:type="auto"/>
          </w:tcPr>
          <w:p w14:paraId="3EC1039F" w14:textId="77777777" w:rsidR="009E368D" w:rsidRDefault="00753A60">
            <w:pPr>
              <w:pStyle w:val="Compact"/>
            </w:pPr>
            <w:r>
              <w:t>Model version</w:t>
            </w:r>
          </w:p>
        </w:tc>
        <w:tc>
          <w:tcPr>
            <w:tcW w:w="0" w:type="auto"/>
          </w:tcPr>
          <w:p w14:paraId="0DB4C80D" w14:textId="77777777" w:rsidR="009E368D" w:rsidRDefault="00753A60">
            <w:pPr>
              <w:pStyle w:val="Compact"/>
              <w:jc w:val="right"/>
            </w:pPr>
            <w:r>
              <w:t>Singular components</w:t>
            </w:r>
          </w:p>
        </w:tc>
      </w:tr>
      <w:tr w:rsidR="009E368D" w14:paraId="0D2C5946" w14:textId="77777777">
        <w:tc>
          <w:tcPr>
            <w:tcW w:w="0" w:type="auto"/>
          </w:tcPr>
          <w:p w14:paraId="0F75A2C3" w14:textId="77777777" w:rsidR="009E368D" w:rsidRDefault="00753A60">
            <w:pPr>
              <w:pStyle w:val="Compact"/>
            </w:pPr>
            <w:r>
              <w:t>M01_PRIMARY_v2</w:t>
            </w:r>
          </w:p>
        </w:tc>
        <w:tc>
          <w:tcPr>
            <w:tcW w:w="0" w:type="auto"/>
          </w:tcPr>
          <w:p w14:paraId="2EF1CC03" w14:textId="77777777" w:rsidR="009E368D" w:rsidRDefault="00753A60">
            <w:pPr>
              <w:pStyle w:val="Compact"/>
              <w:jc w:val="right"/>
            </w:pPr>
            <w:r>
              <w:t>6</w:t>
            </w:r>
          </w:p>
        </w:tc>
      </w:tr>
      <w:tr w:rsidR="009E368D" w14:paraId="3CE1BDDF" w14:textId="77777777">
        <w:tc>
          <w:tcPr>
            <w:tcW w:w="0" w:type="auto"/>
          </w:tcPr>
          <w:p w14:paraId="79697F29" w14:textId="77777777" w:rsidR="009E368D" w:rsidRDefault="00753A60">
            <w:pPr>
              <w:pStyle w:val="Compact"/>
            </w:pPr>
            <w:r>
              <w:t>M27_v2</w:t>
            </w:r>
          </w:p>
        </w:tc>
        <w:tc>
          <w:tcPr>
            <w:tcW w:w="0" w:type="auto"/>
          </w:tcPr>
          <w:p w14:paraId="5F403297" w14:textId="77777777" w:rsidR="009E368D" w:rsidRDefault="00753A60">
            <w:pPr>
              <w:pStyle w:val="Compact"/>
              <w:jc w:val="right"/>
            </w:pPr>
            <w:r>
              <w:t>10</w:t>
            </w:r>
          </w:p>
        </w:tc>
      </w:tr>
      <w:tr w:rsidR="009E368D" w14:paraId="3A1FC735" w14:textId="77777777">
        <w:tc>
          <w:tcPr>
            <w:tcW w:w="0" w:type="auto"/>
          </w:tcPr>
          <w:p w14:paraId="3B3DE6E2" w14:textId="77777777" w:rsidR="009E368D" w:rsidRDefault="00753A60">
            <w:pPr>
              <w:pStyle w:val="Compact"/>
            </w:pPr>
            <w:r>
              <w:t>M28_v2</w:t>
            </w:r>
          </w:p>
        </w:tc>
        <w:tc>
          <w:tcPr>
            <w:tcW w:w="0" w:type="auto"/>
          </w:tcPr>
          <w:p w14:paraId="50CF41E5" w14:textId="77777777" w:rsidR="009E368D" w:rsidRDefault="00753A60">
            <w:pPr>
              <w:pStyle w:val="Compact"/>
              <w:jc w:val="right"/>
            </w:pPr>
            <w:r>
              <w:t>10</w:t>
            </w:r>
          </w:p>
        </w:tc>
      </w:tr>
      <w:tr w:rsidR="009E368D" w14:paraId="6762F1AC" w14:textId="77777777">
        <w:tc>
          <w:tcPr>
            <w:tcW w:w="0" w:type="auto"/>
          </w:tcPr>
          <w:p w14:paraId="702A0E00" w14:textId="77777777" w:rsidR="009E368D" w:rsidRDefault="00753A60">
            <w:pPr>
              <w:pStyle w:val="Compact"/>
            </w:pPr>
            <w:r>
              <w:t>S4A11_WCVI_DOMINANT_OBSERVER_v2</w:t>
            </w:r>
          </w:p>
        </w:tc>
        <w:tc>
          <w:tcPr>
            <w:tcW w:w="0" w:type="auto"/>
          </w:tcPr>
          <w:p w14:paraId="1867F65C" w14:textId="77777777" w:rsidR="009E368D" w:rsidRDefault="00753A60">
            <w:pPr>
              <w:pStyle w:val="Compact"/>
              <w:jc w:val="right"/>
            </w:pPr>
            <w:r>
              <w:t>9</w:t>
            </w:r>
          </w:p>
        </w:tc>
      </w:tr>
      <w:tr w:rsidR="009E368D" w14:paraId="34506FBC" w14:textId="77777777">
        <w:tc>
          <w:tcPr>
            <w:tcW w:w="0" w:type="auto"/>
          </w:tcPr>
          <w:p w14:paraId="59DE53E9" w14:textId="77777777" w:rsidR="009E368D" w:rsidRDefault="00753A60">
            <w:pPr>
              <w:pStyle w:val="Compact"/>
            </w:pPr>
            <w:r>
              <w:t>S4A12_WCVI_2KM_v2</w:t>
            </w:r>
          </w:p>
        </w:tc>
        <w:tc>
          <w:tcPr>
            <w:tcW w:w="0" w:type="auto"/>
          </w:tcPr>
          <w:p w14:paraId="4145F839" w14:textId="77777777" w:rsidR="009E368D" w:rsidRDefault="00753A60">
            <w:pPr>
              <w:pStyle w:val="Compact"/>
              <w:jc w:val="right"/>
            </w:pPr>
            <w:r>
              <w:t>8</w:t>
            </w:r>
          </w:p>
        </w:tc>
      </w:tr>
      <w:tr w:rsidR="009E368D" w14:paraId="407777A9" w14:textId="77777777">
        <w:tc>
          <w:tcPr>
            <w:tcW w:w="0" w:type="auto"/>
          </w:tcPr>
          <w:p w14:paraId="0CDB4EA6" w14:textId="77777777" w:rsidR="009E368D" w:rsidRDefault="00753A60">
            <w:pPr>
              <w:pStyle w:val="Compact"/>
            </w:pPr>
            <w:r>
              <w:rPr>
                <w:b/>
                <w:bCs/>
              </w:rPr>
              <w:t>Total</w:t>
            </w:r>
          </w:p>
        </w:tc>
        <w:tc>
          <w:tcPr>
            <w:tcW w:w="0" w:type="auto"/>
          </w:tcPr>
          <w:p w14:paraId="5464F77E" w14:textId="77777777" w:rsidR="009E368D" w:rsidRDefault="00753A60">
            <w:pPr>
              <w:pStyle w:val="Compact"/>
              <w:jc w:val="right"/>
            </w:pPr>
            <w:r>
              <w:rPr>
                <w:b/>
                <w:bCs/>
              </w:rPr>
              <w:t>43</w:t>
            </w:r>
          </w:p>
        </w:tc>
      </w:tr>
    </w:tbl>
    <w:p w14:paraId="423674E6" w14:textId="77777777" w:rsidR="009E368D" w:rsidRDefault="00753A60">
      <w:pPr>
        <w:pStyle w:val="Heading1"/>
      </w:pPr>
      <w:bookmarkStart w:id="12" w:name="placebo-and-matched-sensitivity-details"/>
      <w:bookmarkStart w:id="13" w:name="_Toc235623301"/>
      <w:bookmarkEnd w:id="10"/>
      <w:r>
        <w:t>7. Placebo and matched sensitivity details</w:t>
      </w:r>
      <w:bookmarkEnd w:id="13"/>
    </w:p>
    <w:p w14:paraId="3E2F619D" w14:textId="77777777" w:rsidR="009E368D" w:rsidRDefault="00753A60">
      <w:pPr>
        <w:pStyle w:val="FirstParagraph"/>
      </w:pPr>
      <w:r>
        <w:t>Supplementary Table S7 (</w:t>
      </w:r>
      <w:r>
        <w:rPr>
          <w:rStyle w:val="VerbatimChar"/>
        </w:rPr>
        <w:t>Table_S7.csv</w:t>
      </w:r>
      <w:r>
        <w:t>) contains all 64 whole-bundle placebo components. M27 ordered protected analysis-event tokens within region-year and applied a nonzero cyclic shift; M28 ordered protected location then event tokens within region-year and applied its registered nonzero shift. Neither construction read a response. The complete linked bundle moved together, preserving within-stratum bundle distributions and concurrent-link invariants with zero fixed positions. No component had BH q below 0.05.</w:t>
      </w:r>
    </w:p>
    <w:p w14:paraId="3AC09782" w14:textId="77777777" w:rsidR="009E368D" w:rsidRDefault="00753A60">
      <w:pPr>
        <w:pStyle w:val="BodyText"/>
      </w:pPr>
      <w:r>
        <w:rPr>
          <w:noProof/>
        </w:rPr>
        <w:drawing>
          <wp:inline distT="0" distB="0" distL="0" distR="0" wp14:anchorId="2F8A6ADA" wp14:editId="6C320A2E">
            <wp:extent cx="5334000" cy="3164839"/>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ures/Figure_S5.png"/>
                    <pic:cNvPicPr>
                      <a:picLocks noChangeAspect="1" noChangeArrowheads="1"/>
                    </pic:cNvPicPr>
                  </pic:nvPicPr>
                  <pic:blipFill>
                    <a:blip r:embed="rId10"/>
                    <a:stretch>
                      <a:fillRect/>
                    </a:stretch>
                  </pic:blipFill>
                  <pic:spPr bwMode="auto">
                    <a:xfrm>
                      <a:off x="0" y="0"/>
                      <a:ext cx="5334000" cy="3164839"/>
                    </a:xfrm>
                    <a:prstGeom prst="rect">
                      <a:avLst/>
                    </a:prstGeom>
                    <a:noFill/>
                    <a:ln w="9525">
                      <a:noFill/>
                      <a:headEnd/>
                      <a:tailEnd/>
                    </a:ln>
                  </pic:spPr>
                </pic:pic>
              </a:graphicData>
            </a:graphic>
          </wp:inline>
        </w:drawing>
      </w:r>
    </w:p>
    <w:p w14:paraId="0981170B" w14:textId="77777777" w:rsidR="009E368D" w:rsidRDefault="00753A60">
      <w:pPr>
        <w:pStyle w:val="BodyText"/>
      </w:pPr>
      <w:r>
        <w:rPr>
          <w:b/>
          <w:bCs/>
        </w:rPr>
        <w:t>Supplementary Figure S5. Matched whole-bundle placebo diagnostics.</w:t>
      </w:r>
      <w:r>
        <w:t xml:space="preserve"> M27 and M28 shifted complete exposure bundles within region-year strata without reading responses. No placebo component had BH q below 0.05; null diagnostics do not establish causal identification.</w:t>
      </w:r>
    </w:p>
    <w:p w14:paraId="385DB90B" w14:textId="77777777" w:rsidR="009E368D" w:rsidRDefault="00753A60">
      <w:pPr>
        <w:pStyle w:val="BodyText"/>
      </w:pPr>
      <w:r>
        <w:t>Supplementary Table S8 (the same matched sensitivity table, restricted to the WCVI 2-km and dominant-observer versions plus the matched reference) contains the complete spatial and observer sensitivity estimates. Each sensitivity changed one registered dimension. The 2-km analysis restricted eligibility to the high-precision cohort; the observer analysis removed one pre-defined dominant observer cluster from every guild and outcome. Both used the matched sparse M01 architecture.</w:t>
      </w:r>
    </w:p>
    <w:p w14:paraId="7E90AFBD" w14:textId="77777777" w:rsidR="009E368D" w:rsidRDefault="00753A60">
      <w:pPr>
        <w:pStyle w:val="BodyText"/>
      </w:pPr>
      <w:r>
        <w:t>Supplementary Table S9 (</w:t>
      </w:r>
      <w:r>
        <w:rPr>
          <w:rStyle w:val="VerbatimChar"/>
        </w:rPr>
        <w:t>Table_S9.csv</w:t>
      </w:r>
      <w:r>
        <w:t>) contains 512 model-component-fold rows. Each of the 128 components has four event-blocked folds. Validation uses fixed effects only, excludes unsupported fixed factor levels transparently, suppresses cells below 20, and never uses conditional observer or location BLUPs.</w:t>
      </w:r>
    </w:p>
    <w:p w14:paraId="0FB2D036" w14:textId="77777777" w:rsidR="009E368D" w:rsidRDefault="00753A60">
      <w:pPr>
        <w:pStyle w:val="BodyText"/>
      </w:pPr>
      <w:r>
        <w:rPr>
          <w:noProof/>
        </w:rPr>
        <w:drawing>
          <wp:inline distT="0" distB="0" distL="0" distR="0" wp14:anchorId="56BD7082" wp14:editId="3C921759">
            <wp:extent cx="5334000" cy="2721428"/>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Figure_S4.png"/>
                    <pic:cNvPicPr>
                      <a:picLocks noChangeAspect="1" noChangeArrowheads="1"/>
                    </pic:cNvPicPr>
                  </pic:nvPicPr>
                  <pic:blipFill>
                    <a:blip r:embed="rId11"/>
                    <a:stretch>
                      <a:fillRect/>
                    </a:stretch>
                  </pic:blipFill>
                  <pic:spPr bwMode="auto">
                    <a:xfrm>
                      <a:off x="0" y="0"/>
                      <a:ext cx="5334000" cy="2721428"/>
                    </a:xfrm>
                    <a:prstGeom prst="rect">
                      <a:avLst/>
                    </a:prstGeom>
                    <a:noFill/>
                    <a:ln w="9525">
                      <a:noFill/>
                      <a:headEnd/>
                      <a:tailEnd/>
                    </a:ln>
                  </pic:spPr>
                </pic:pic>
              </a:graphicData>
            </a:graphic>
          </wp:inline>
        </w:drawing>
      </w:r>
    </w:p>
    <w:p w14:paraId="59EA667B" w14:textId="77777777" w:rsidR="009E368D" w:rsidRDefault="00753A60">
      <w:pPr>
        <w:pStyle w:val="BodyText"/>
      </w:pPr>
      <w:r>
        <w:rPr>
          <w:b/>
          <w:bCs/>
        </w:rPr>
        <w:t>Supplementary Figure S4. Sensitivity execution and fit diagnostics.</w:t>
      </w:r>
      <w:r>
        <w:t xml:space="preserve"> All components completed; singular warnings remain explicit and failures are not recoded as successful fits.</w:t>
      </w:r>
    </w:p>
    <w:p w14:paraId="106A65BC" w14:textId="77777777" w:rsidR="009E368D" w:rsidRDefault="00753A60">
      <w:pPr>
        <w:pStyle w:val="Heading1"/>
      </w:pPr>
      <w:bookmarkStart w:id="14" w:name="X8d0b758b7ecd4305ca0f50fd74c5bafb56ab217"/>
      <w:bookmarkStart w:id="15" w:name="_Toc235623302"/>
      <w:bookmarkEnd w:id="12"/>
      <w:r>
        <w:t>8. Strait of Georgia specificity/falsification audit</w:t>
      </w:r>
      <w:bookmarkEnd w:id="15"/>
    </w:p>
    <w:p w14:paraId="5CCDAA19" w14:textId="77777777" w:rsidR="009E368D" w:rsidRDefault="00753A60">
      <w:pPr>
        <w:pStyle w:val="FirstParagraph"/>
      </w:pPr>
      <w:r>
        <w:t>The registered M29 purpose was specificity assessment, not a promise that Gadwall and Northern Shoveler were biological nonresponders. Both models were detection-only, used the true SoG active-near exposure, and retained the registered adjustment. Gadwall had a log-odds coefficient of 0.234 (95% CI 0.132 to 0.337; BH q = 7.28e-06), and Northern Shoveler had a coefficient of 0.628 (0.527 to 0.729; BH q = 6.56e-34).</w:t>
      </w:r>
    </w:p>
    <w:p w14:paraId="590361E3" w14:textId="77777777" w:rsidR="009E368D" w:rsidRDefault="00753A60">
      <w:pPr>
        <w:pStyle w:val="BodyText"/>
      </w:pPr>
      <w:r>
        <w:t>These magnitudes lie within the range of primary SoG guild-detection coefficients. The panel directly challenges causal, species-specific, and simple mechanism-specific readings of those detection associations. It tests a mixture of specificity and shared seasonal, spatial-access, checklist-submission, site-selection, and exposure-classification structure. It does not directly test the positive-count component, WCVI estimates, population abundance, or whether the checklist association is present descriptive</w:t>
      </w:r>
      <w:r>
        <w:t>ly. The resulting manuscript treatment is therefore to downgrade ecological specificity, state residual-confounding and classification explanations, and retain rather than hide the panel.</w:t>
      </w:r>
    </w:p>
    <w:p w14:paraId="71CF3560" w14:textId="77777777" w:rsidR="009E368D" w:rsidRDefault="00753A60">
      <w:pPr>
        <w:pStyle w:val="BodyText"/>
      </w:pPr>
      <w:r>
        <w:t>The full two-row audit is included in the journal consistency-audit package; its main-document summary is Table 3.</w:t>
      </w:r>
    </w:p>
    <w:p w14:paraId="353FA401" w14:textId="77777777" w:rsidR="009E368D" w:rsidRDefault="00753A60">
      <w:pPr>
        <w:pStyle w:val="Heading1"/>
      </w:pPr>
      <w:bookmarkStart w:id="16" w:name="X3b647f72ca45d03c8ab0a7592e6079aa1efe689"/>
      <w:bookmarkStart w:id="17" w:name="_Toc235623303"/>
      <w:bookmarkEnd w:id="14"/>
      <w:r>
        <w:t>9. DFO monitoring, exposure classification, and regional interpretation</w:t>
      </w:r>
      <w:bookmarkEnd w:id="17"/>
    </w:p>
    <w:p w14:paraId="65838537" w14:textId="77777777" w:rsidR="009E368D" w:rsidRDefault="00753A60">
      <w:pPr>
        <w:pStyle w:val="FirstParagraph"/>
      </w:pPr>
      <w:r>
        <w:t>The Pacific Herring Spawn Index Data are an official relative index with documented observation and measurement caveats [</w:t>
      </w:r>
      <w:hyperlink w:anchor="ref-grinnell2023">
        <w:r>
          <w:rPr>
            <w:rStyle w:val="Hyperlink"/>
          </w:rPr>
          <w:t>1</w:t>
        </w:r>
      </w:hyperlink>
      <w:r>
        <w:t>,</w:t>
      </w:r>
      <w:hyperlink w:anchor="ref-dfo_spawn_data">
        <w:r>
          <w:rPr>
            <w:rStyle w:val="Hyperlink"/>
          </w:rPr>
          <w:t>2</w:t>
        </w:r>
      </w:hyperlink>
      <w:r>
        <w:t xml:space="preserve">]. Surveyed-positive, surveyed-negative, and unmonitored-unknown states are distinct. The literal regional code </w:t>
      </w:r>
      <w:r>
        <w:rPr>
          <w:rStyle w:val="VerbatimChar"/>
        </w:rPr>
        <w:t>NA</w:t>
      </w:r>
      <w:r>
        <w:t xml:space="preserve"> </w:t>
      </w:r>
      <w:r>
        <w:t>denotes the registered North region in the analysis registry; it is not a missing value. Missing herring components are not zero.</w:t>
      </w:r>
    </w:p>
    <w:p w14:paraId="019A7A6F" w14:textId="77777777" w:rsidR="009E368D" w:rsidRDefault="00753A60">
      <w:pPr>
        <w:pStyle w:val="BodyText"/>
      </w:pPr>
      <w:r>
        <w:t>SoG is the primary 2005-2025 population; WCVI is candidate-primary from 2015; Central Coast and North are hierarchical descriptive frames. The manuscript does not use protected localities or exact coordinates. Regional heterogeneity can reflect biological timing, habitat, survey coverage, observer composition, and exposure misclassification; it is not interpreted as a coast-wide abundance gradient.</w:t>
      </w:r>
    </w:p>
    <w:p w14:paraId="1E579392" w14:textId="77777777" w:rsidR="009E368D" w:rsidRDefault="00753A60">
      <w:pPr>
        <w:pStyle w:val="Heading1"/>
      </w:pPr>
      <w:bookmarkStart w:id="18" w:name="X0f6b22ba3c42b132ef3bb8640644e51dd2fb2d0"/>
      <w:bookmarkStart w:id="19" w:name="_Toc235623304"/>
      <w:bookmarkEnd w:id="16"/>
      <w:r>
        <w:t>10. Reproducibility, provenance, and artifact hashes</w:t>
      </w:r>
      <w:bookmarkEnd w:id="19"/>
    </w:p>
    <w:p w14:paraId="20C51811" w14:textId="77777777" w:rsidR="009E368D" w:rsidRDefault="00753A60">
      <w:pPr>
        <w:pStyle w:val="FirstParagraph"/>
      </w:pPr>
      <w:r>
        <w:t>Supplementary Table S10 (</w:t>
      </w:r>
      <w:r>
        <w:rPr>
          <w:rStyle w:val="VerbatimChar"/>
        </w:rPr>
        <w:t>Table_S10.csv</w:t>
      </w:r>
      <w:r>
        <w:t>) records the SHA-256 and byte size of the submission artifacts after rendering. The journal consistency-audit package contains the table/figure provenance registry, including each artifact’s location, source file and hash, generation script and commit, filters, model or family IDs, caption, and privacy class.</w:t>
      </w:r>
    </w:p>
    <w:p w14:paraId="443902DA" w14:textId="77777777" w:rsidR="009E368D" w:rsidRDefault="00753A60">
      <w:pPr>
        <w:pStyle w:val="BodyText"/>
      </w:pPr>
      <w:r>
        <w:t>The analysis freeze is immutable. Manuscript assembly is a downstream transformation of privacy-safe aggregates and does not modify frozen v1 or v2 analysis outputs. Authorized researchers can reconstruct protected analysis inputs under the eBird and DFO source terms; public readers receive aggregate outputs, code, specifications, hashes, and documented access constraints.</w:t>
      </w:r>
    </w:p>
    <w:p w14:paraId="5A2F5001" w14:textId="77777777" w:rsidR="009E368D" w:rsidRDefault="00753A60">
      <w:pPr>
        <w:pStyle w:val="Heading1"/>
      </w:pPr>
      <w:bookmarkStart w:id="20" w:name="references"/>
      <w:bookmarkStart w:id="21" w:name="_Toc235623305"/>
      <w:bookmarkEnd w:id="18"/>
      <w:r>
        <w:t>11. References</w:t>
      </w:r>
      <w:bookmarkEnd w:id="21"/>
    </w:p>
    <w:p w14:paraId="641D209C" w14:textId="77777777" w:rsidR="009E368D" w:rsidRDefault="00753A60">
      <w:pPr>
        <w:pStyle w:val="Bibliography"/>
      </w:pPr>
      <w:bookmarkStart w:id="22" w:name="ref-grinnell2023"/>
      <w:bookmarkStart w:id="23" w:name="refs"/>
      <w:r>
        <w:t xml:space="preserve">[1] </w:t>
      </w:r>
      <w:r>
        <w:tab/>
        <w:t xml:space="preserve">Grinnell MH, Schweigert JF, Thompson M, Hawkshaw S, Cleary JS. </w:t>
      </w:r>
      <w:hyperlink r:id="rId12">
        <w:r>
          <w:rPr>
            <w:rStyle w:val="Hyperlink"/>
          </w:rPr>
          <w:t>Calculating the spawn index for pacific herring (clupea pallasii) in british columbia, canada</w:t>
        </w:r>
      </w:hyperlink>
      <w:r>
        <w:t>. Fisheries; Oceans Canada; 2023.</w:t>
      </w:r>
    </w:p>
    <w:p w14:paraId="4C78F03D" w14:textId="77777777" w:rsidR="009E368D" w:rsidRDefault="00753A60">
      <w:pPr>
        <w:pStyle w:val="Bibliography"/>
      </w:pPr>
      <w:bookmarkStart w:id="24" w:name="ref-dfo_spawn_data"/>
      <w:bookmarkEnd w:id="22"/>
      <w:r>
        <w:t xml:space="preserve">[2] </w:t>
      </w:r>
      <w:r>
        <w:tab/>
        <w:t xml:space="preserve">Fisheries and Oceans Canada. </w:t>
      </w:r>
      <w:hyperlink r:id="rId13">
        <w:r>
          <w:rPr>
            <w:rStyle w:val="Hyperlink"/>
          </w:rPr>
          <w:t>Pacific herring spawn index data</w:t>
        </w:r>
      </w:hyperlink>
      <w:r>
        <w:t xml:space="preserve"> 2026.</w:t>
      </w:r>
      <w:bookmarkEnd w:id="20"/>
      <w:bookmarkEnd w:id="23"/>
      <w:bookmarkEnd w:id="24"/>
    </w:p>
    <w:sectPr w:rsidR="009E368D" w:rsidSect="00934263">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27A83" w14:textId="77777777" w:rsidR="00753A60" w:rsidRDefault="00753A60" w:rsidP="00934263">
      <w:pPr>
        <w:spacing w:after="0"/>
      </w:pPr>
      <w:r>
        <w:separator/>
      </w:r>
    </w:p>
  </w:endnote>
  <w:endnote w:type="continuationSeparator" w:id="0">
    <w:p w14:paraId="6368BD43" w14:textId="77777777" w:rsidR="00753A60" w:rsidRDefault="00753A60" w:rsidP="009342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1A0F9" w14:textId="77777777" w:rsidR="00934263" w:rsidRDefault="009342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02CB" w14:textId="6AB52CF6" w:rsidR="00934263" w:rsidRDefault="00934263" w:rsidP="00934263">
    <w:pPr>
      <w:pStyle w:val="Footer"/>
      <w:jc w:val="center"/>
    </w:pPr>
    <w:r>
      <w:t xml:space="preserve">Page </w:t>
    </w: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34EAC" w14:textId="77777777" w:rsidR="00934263" w:rsidRDefault="009342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84366" w14:textId="77777777" w:rsidR="00753A60" w:rsidRDefault="00753A60" w:rsidP="00934263">
      <w:pPr>
        <w:spacing w:after="0"/>
      </w:pPr>
      <w:r>
        <w:separator/>
      </w:r>
    </w:p>
  </w:footnote>
  <w:footnote w:type="continuationSeparator" w:id="0">
    <w:p w14:paraId="60BE88CE" w14:textId="77777777" w:rsidR="00753A60" w:rsidRDefault="00753A60" w:rsidP="0093426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2BB47" w14:textId="77777777" w:rsidR="00934263" w:rsidRDefault="009342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C1963" w14:textId="77777777" w:rsidR="00934263" w:rsidRDefault="009342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B658C" w14:textId="77777777" w:rsidR="00934263" w:rsidRDefault="009342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298A8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14288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E368D"/>
    <w:rsid w:val="00753A60"/>
    <w:rsid w:val="00934263"/>
    <w:rsid w:val="009E368D"/>
    <w:rsid w:val="00A606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76F011"/>
  <w15:docId w15:val="{1260FF1F-018E-40F0-AA0C-9136A29C2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934263"/>
    <w:pPr>
      <w:spacing w:after="100"/>
    </w:pPr>
  </w:style>
  <w:style w:type="paragraph" w:styleId="Header">
    <w:name w:val="header"/>
    <w:basedOn w:val="Normal"/>
    <w:link w:val="HeaderChar"/>
    <w:rsid w:val="00934263"/>
    <w:pPr>
      <w:tabs>
        <w:tab w:val="center" w:pos="4680"/>
        <w:tab w:val="right" w:pos="9360"/>
      </w:tabs>
      <w:spacing w:after="0"/>
    </w:pPr>
  </w:style>
  <w:style w:type="character" w:customStyle="1" w:styleId="HeaderChar">
    <w:name w:val="Header Char"/>
    <w:basedOn w:val="DefaultParagraphFont"/>
    <w:link w:val="Header"/>
    <w:rsid w:val="00934263"/>
  </w:style>
  <w:style w:type="paragraph" w:styleId="Footer">
    <w:name w:val="footer"/>
    <w:basedOn w:val="Normal"/>
    <w:link w:val="FooterChar"/>
    <w:rsid w:val="00934263"/>
    <w:pPr>
      <w:tabs>
        <w:tab w:val="center" w:pos="4680"/>
        <w:tab w:val="right" w:pos="9360"/>
      </w:tabs>
      <w:spacing w:after="0"/>
    </w:pPr>
  </w:style>
  <w:style w:type="character" w:customStyle="1" w:styleId="FooterChar">
    <w:name w:val="Footer Char"/>
    <w:basedOn w:val="DefaultParagraphFont"/>
    <w:link w:val="Footer"/>
    <w:rsid w:val="00934263"/>
  </w:style>
  <w:style w:type="character" w:styleId="LineNumber">
    <w:name w:val="line number"/>
    <w:basedOn w:val="DefaultParagraphFont"/>
    <w:rsid w:val="009342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open.canada.ca/data/en/dataset/d892511c-d851-4f85-a0ec-708bc05d2810"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publications.gc.ca/site/eng/9.912189/publication.html"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1570</Words>
  <Characters>10359</Characters>
  <Application>Microsoft Office Word</Application>
  <DocSecurity>0</DocSecurity>
  <Lines>187</Lines>
  <Paragraphs>70</Paragraphs>
  <ScaleCrop>false</ScaleCrop>
  <Company/>
  <LinksUpToDate>false</LinksUpToDate>
  <CharactersWithSpaces>11861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Spatiotemporal associations between coastal birds and Pacific herring spawning in British Columbia</dc:title>
  <dc:creator>Jacob T. Dingwall</dc:creator>
  <cp:keywords/>
  <cp:lastModifiedBy>Jake Dingwall</cp:lastModifiedBy>
  <cp:revision>2</cp:revision>
  <dcterms:created xsi:type="dcterms:W3CDTF">2026-07-22T21:34:00Z</dcterms:created>
  <dcterms:modified xsi:type="dcterms:W3CDTF">2026-07-22T21:34:00Z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mer_references_v2.bib</vt:lpwstr>
  </property>
  <property fmtid="{D5CDD505-2E9C-101B-9397-08002B2CF9AE}" pid="5" name="by-author">
    <vt:lpwstr/>
  </property>
  <property fmtid="{D5CDD505-2E9C-101B-9397-08002B2CF9AE}" pid="6" name="csl">
    <vt:lpwstr>../../../../references/marine-environmental-research.csl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citations">
    <vt:lpwstr>True</vt:lpwstr>
  </property>
  <property fmtid="{D5CDD505-2E9C-101B-9397-08002B2CF9AE}" pid="13" name="subtitle">
    <vt:lpwstr>Full-length Article; Stage 4A v2 analysis freeze</vt:lpwstr>
  </property>
  <property fmtid="{D5CDD505-2E9C-101B-9397-08002B2CF9AE}" pid="14" name="toc-title">
    <vt:lpwstr>Table of contents</vt:lpwstr>
  </property>
</Properties>
</file>