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Complete eBird checklists were linked to recorded herring-spawn events.</w:t>
      </w:r>
    </w:p>
    <w:p>
      <w:pPr>
        <w:pStyle w:val="Compact"/>
        <w:numPr>
          <w:ilvl w:val="0"/>
          <w:numId w:val="1001"/>
        </w:numPr>
      </w:pPr>
      <w:r>
        <w:t xml:space="preserve">Registered bird associations differed by taxon, region, and response.</w:t>
      </w:r>
    </w:p>
    <w:p>
      <w:pPr>
        <w:pStyle w:val="Compact"/>
        <w:numPr>
          <w:ilvl w:val="0"/>
          <w:numId w:val="1001"/>
        </w:numPr>
      </w:pPr>
      <w:r>
        <w:t xml:space="preserve">Matched WCVI sensitivities preserved 15 of 16 coefficient directions.</w:t>
      </w:r>
    </w:p>
    <w:p>
      <w:pPr>
        <w:pStyle w:val="Compact"/>
        <w:numPr>
          <w:ilvl w:val="0"/>
          <w:numId w:val="1001"/>
        </w:numPr>
      </w:pPr>
      <w:r>
        <w:t xml:space="preserve">No matched whole-bundle placebo component had BH q below 0.05.</w:t>
      </w:r>
    </w:p>
    <w:p>
      <w:pPr>
        <w:pStyle w:val="Compact"/>
        <w:numPr>
          <w:ilvl w:val="0"/>
          <w:numId w:val="1001"/>
        </w:numPr>
      </w:pPr>
      <w:r>
        <w:t xml:space="preserve">A non-null specificity panel constrains simple ecological interpretation.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2026-07-22T16:33:04Z</dcterms:created>
  <dcterms:modified xsi:type="dcterms:W3CDTF">2026-07-22T16:33:04Z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