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eporting-checklist-and-applicability"/>
    <w:p>
      <w:pPr>
        <w:pStyle w:val="Heading1"/>
      </w:pPr>
      <w:r>
        <w:t xml:space="preserve">Reporting checklist and applicability</w:t>
      </w:r>
    </w:p>
    <w:p>
      <w:pPr>
        <w:pStyle w:val="FirstParagraph"/>
      </w:pPr>
      <w:r>
        <w:t xml:space="preserve">No study-design-specific reporting checklist is mandated in the current</w:t>
      </w:r>
      <w:r>
        <w:t xml:space="preserve"> </w:t>
      </w:r>
      <w:r>
        <w:rPr>
          <w:i/>
          <w:iCs/>
        </w:rPr>
        <w:t xml:space="preserve">Marine Environmental Research</w:t>
      </w:r>
      <w:r>
        <w:t xml:space="preserve"> </w:t>
      </w:r>
      <w:r>
        <w:t xml:space="preserve">Guide for Authors.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or 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Registered observational questions and estimand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Introduction; Methods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Eligibility and observation-process covariates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Response-state definitions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Methods; Supplement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Exposure and concurrent-event linkage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Methods; Supplement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Multiplicity and family definitions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Methods; machine-readable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prespecified models 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Results; Supplement; companion CSVs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Singular-fit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Methods; Results; Supplementary Table S6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M29 specificity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Abstract; main Results and Discussion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Limitations paired with affected interpretation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Data/code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matter; author declarations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Funding, conflict, contributions, ethics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subject to human confirmation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matter; author declarations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SAGER sex/gender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Checklist-level bird outcomes; no sex/gender analysis of humans or animals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Graphical 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Optional, not supplied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Encouraged rather than required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2026-07-22T16:33:04Z</dcterms:created>
  <dcterms:modified xsi:type="dcterms:W3CDTF">2026-07-22T16:33:04Z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