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material:</w:t>
      </w:r>
      <w:r>
        <w:t xml:space="preserve"> </w:t>
      </w:r>
      <w:r>
        <w:t xml:space="preserve">Coastal-bird</w:t>
      </w:r>
      <w:r>
        <w:t xml:space="preserve"> </w:t>
      </w:r>
      <w:r>
        <w:t xml:space="preserve">responses</w:t>
      </w:r>
      <w:r>
        <w:t xml:space="preserve"> </w:t>
      </w:r>
      <w:r>
        <w:t xml:space="preserve">through</w:t>
      </w:r>
      <w:r>
        <w:t xml:space="preserve"> </w:t>
      </w:r>
      <w:r>
        <w:t xml:space="preserve">Pacific</w:t>
      </w:r>
      <w:r>
        <w:t xml:space="preserve"> </w:t>
      </w:r>
      <w:r>
        <w:t xml:space="preserve">herring</w:t>
      </w:r>
      <w:r>
        <w:t xml:space="preserve"> </w:t>
      </w:r>
      <w:r>
        <w:t xml:space="preserve">spawning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Strait</w:t>
      </w:r>
      <w:r>
        <w:t xml:space="preserve"> </w:t>
      </w:r>
      <w:r>
        <w:t xml:space="preserve">of</w:t>
      </w:r>
      <w:r>
        <w:t xml:space="preserve"> </w:t>
      </w:r>
      <w:r>
        <w:t xml:space="preserve">Georgia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T.</w:t>
      </w:r>
      <w:r>
        <w:t xml:space="preserve"> </w:t>
      </w:r>
      <w:r>
        <w:t xml:space="preserve">Dingwall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cope-and-version-relationship"/>
    <w:p>
      <w:pPr>
        <w:pStyle w:val="Heading1"/>
      </w:pPr>
      <w:r>
        <w:t xml:space="preserve">1. Scope and version relationship</w:t>
      </w:r>
    </w:p>
    <w:p>
      <w:pPr>
        <w:pStyle w:val="FirstParagraph"/>
      </w:pPr>
      <w:r>
        <w:t xml:space="preserve">This supplement accompanies the Strait of Georgia event-study refinement reported in the main manuscript. The refinement is additive and post-result: it does not overwrite, relabel, or supersede the earlier registered analysis of the same linked data, whose tables, figures, locks, hashes, execution record, and manuscript remain unchanged.</w:t>
      </w:r>
    </w:p>
    <w:p>
      <w:pPr>
        <w:pStyle w:val="BodyText"/>
      </w:pPr>
      <w:r>
        <w:t xml:space="preserve">The complete aggregate family is reported in</w:t>
      </w:r>
      <w:r>
        <w:t xml:space="preserve"> </w:t>
      </w:r>
      <w:r>
        <w:rPr>
          <w:rStyle w:val="VerbatimChar"/>
        </w:rPr>
        <w:t xml:space="preserve">outputs/post_stage4a_sog_event_study_v1/</w:t>
      </w:r>
      <w:r>
        <w:t xml:space="preserve">, with manuscript-ready copies in</w:t>
      </w:r>
      <w:r>
        <w:t xml:space="preserve"> </w:t>
      </w:r>
      <w:r>
        <w:rPr>
          <w:rStyle w:val="VerbatimChar"/>
        </w:rPr>
        <w:t xml:space="preserve">tables_v7/</w:t>
      </w:r>
      <w:r>
        <w:t xml:space="preserve">. No protected checklist, observer, locality, source-event identifier, exact coordinate, comment, shoreline field, model object, checkpoint, or record-level derivative is included.</w:t>
      </w:r>
    </w:p>
    <w:bookmarkEnd w:id="20"/>
    <w:bookmarkStart w:id="21" w:name="event-study-estimand"/>
    <w:p>
      <w:pPr>
        <w:pStyle w:val="Heading1"/>
      </w:pPr>
      <w:r>
        <w:t xml:space="preserve">2. Event-study estimand</w:t>
      </w:r>
    </w:p>
    <w:p>
      <w:pPr>
        <w:pStyle w:val="FirstParagraph"/>
      </w:pPr>
      <w:r>
        <w:t xml:space="preserve">The refinement asks whether the near/reference difference changes through recorded spawning relative to the same spatial difference during days −28 to −15. Near is &lt;5 km from a recorded source point and reference is 5–20 km. Six joint periods are crossed with the two zones. All concurrent source-event links are counted in their observed joint cell, while one checklist remains one model row.</w:t>
      </w:r>
    </w:p>
    <w:p>
      <w:pPr>
        <w:pStyle w:val="BodyText"/>
      </w:pPr>
      <w:r>
        <w:t xml:space="preserve">For period</w:t>
      </w:r>
      <w:r>
        <w:t xml:space="preserve"> </w:t>
      </w:r>
      <w:r>
        <w:rPr>
          <w:i/>
          <w:iCs/>
        </w:rPr>
        <w:t xml:space="preserve">p</w:t>
      </w:r>
      <w:r>
        <w:t xml:space="preserve">, the contrast is:</w:t>
      </w:r>
    </w:p>
    <w:p>
      <w:pPr>
        <w:pStyle w:val="BlockText"/>
      </w:pPr>
      <w:r>
        <w:t xml:space="preserve">(near at period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− reference at period</w:t>
      </w:r>
      <w:r>
        <w:t xml:space="preserve"> </w:t>
      </w:r>
      <w:r>
        <w:rPr>
          <w:i/>
          <w:iCs/>
        </w:rPr>
        <w:t xml:space="preserve">p</w:t>
      </w:r>
      <w:r>
        <w:t xml:space="preserve">) −</w:t>
      </w:r>
      <w:r>
        <w:t xml:space="preserve"> </w:t>
      </w:r>
      <w:r>
        <w:t xml:space="preserve">(near at baseline − reference at baseline).</w:t>
      </w:r>
    </w:p>
    <w:p>
      <w:pPr>
        <w:pStyle w:val="FirstParagraph"/>
      </w:pPr>
      <w:r>
        <w:t xml:space="preserve">Exponentiated detection values are ratios of near/reference odds ratios. Exponentiated conditional-count values are ratios of near/reference geometric-mean positive-count ratios. Values above one indicate a more positive spatial contrast than baseline; they do not estimate population change.</w:t>
      </w:r>
    </w:p>
    <w:p>
      <w:pPr>
        <w:pStyle w:val="BodyText"/>
      </w:pPr>
      <w:r>
        <w:t xml:space="preserve">The primary active contrast is the duration-weighted combination of days 0–3 and 4–14, weighted 4/15 and 11/15 respectively. The pre-spawn summary equally combines days −14 to −8 and −7 to −1, giving the −14 to −1 day window used in the main text and in Figure 3 of the manuscript. The immediate pre-spawn window of days −7 to −1 is reported separately in Table S2. All fixed windows and weights were executed without outcome-selected collapse.</w:t>
      </w:r>
    </w:p>
    <w:bookmarkEnd w:id="21"/>
    <w:bookmarkStart w:id="22" w:name="taxonomic-and-count-state-rules"/>
    <w:p>
      <w:pPr>
        <w:pStyle w:val="Heading1"/>
      </w:pPr>
      <w:r>
        <w:t xml:space="preserve">3. Taxonomic and count-state rules</w:t>
      </w:r>
    </w:p>
    <w:p>
      <w:pPr>
        <w:pStyle w:val="FirstParagraph"/>
      </w:pPr>
      <w:r>
        <w:t xml:space="preserve">Taxa follow eBird/Clements taxonomy v2025. Three taxa in the 49-species family</w:t>
      </w:r>
      <w:r>
        <w:t xml:space="preserve"> </w:t>
      </w:r>
      <w:r>
        <w:t xml:space="preserve">sit on a taxonomic change within the 2005–2025 window and are resolved to a</w:t>
      </w:r>
      <w:r>
        <w:t xml:space="preserve"> </w:t>
      </w:r>
      <w:r>
        <w:t xml:space="preserve">single fixed analysis concept by versioned mapping: Short-billed Gull (the former</w:t>
      </w:r>
      <w:r>
        <w:t xml:space="preserve"> </w:t>
      </w:r>
      <w:r>
        <w:t xml:space="preserve">Mew Gull; common-name and concept change), American Herring Gull (from the split</w:t>
      </w:r>
      <w:r>
        <w:t xml:space="preserve"> </w:t>
      </w:r>
      <w:r>
        <w:t xml:space="preserve">of the Herring Gull complex), and Iceland Gull (which absorbed Thayer’s Gull).</w:t>
      </w:r>
      <w:r>
        <w:t xml:space="preserve"> </w:t>
      </w:r>
      <w:r>
        <w:t xml:space="preserve">Because the event study includes calendar year as a fixed factor and estimates a</w:t>
      </w:r>
      <w:r>
        <w:t xml:space="preserve"> </w:t>
      </w:r>
      <w:r>
        <w:t xml:space="preserve">within-year near-versus-reference difference-in-differences, a taxonomy change</w:t>
      </w:r>
      <w:r>
        <w:t xml:space="preserve"> </w:t>
      </w:r>
      <w:r>
        <w:t xml:space="preserve">that shifts a reported concept equally in both zones within a year is absorbed by</w:t>
      </w:r>
      <w:r>
        <w:t xml:space="preserve"> </w:t>
      </w:r>
      <w:r>
        <w:t xml:space="preserve">the year factor and differenced out of the interaction; only a within-year,</w:t>
      </w:r>
      <w:r>
        <w:t xml:space="preserve"> </w:t>
      </w:r>
      <w:r>
        <w:t xml:space="preserve">spatially structured reporting change at a split boundary could bias it, which is</w:t>
      </w:r>
      <w:r>
        <w:t xml:space="preserve"> </w:t>
      </w:r>
      <w:r>
        <w:t xml:space="preserve">second order.</w:t>
      </w:r>
    </w:p>
    <w:p>
      <w:pPr>
        <w:pStyle w:val="BodyText"/>
      </w:pPr>
      <w:r>
        <w:t xml:space="preserve">Each detection carried one explicit count state: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finite reported count greater than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but unquantified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ambiguity_affected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or count ambiguous under the frozen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Lower-bound reports, ambiguous records, structural unknowns, and finite exact</w:t>
      </w:r>
      <w:r>
        <w:t xml:space="preserve"> </w:t>
      </w:r>
      <w:r>
        <w:t xml:space="preserve">counts remained distinct; none was silently recoded. An unquantified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never</w:t>
      </w:r>
      <w:r>
        <w:t xml:space="preserve"> </w:t>
      </w:r>
      <w:r>
        <w:t xml:space="preserve">became a numeric count, and an ambiguous record was never coerced to a zero</w:t>
      </w:r>
      <w:r>
        <w:t xml:space="preserve"> </w:t>
      </w:r>
      <w:r>
        <w:t xml:space="preserve">(nondetection). Across the modeled family,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accounts for the large</w:t>
      </w:r>
      <w:r>
        <w:t xml:space="preserve"> </w:t>
      </w:r>
      <w:r>
        <w:t xml:space="preserve">majority of detections,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for a small fraction that rises with exposure for the</w:t>
      </w:r>
      <w:r>
        <w:t xml:space="preserve"> </w:t>
      </w:r>
      <w:r>
        <w:t xml:space="preserve">strongest aggregators (main text, Discussion 4.2), and</w:t>
      </w:r>
      <w:r>
        <w:t xml:space="preserve"> </w:t>
      </w:r>
      <w:r>
        <w:rPr>
          <w:rStyle w:val="VerbatimChar"/>
        </w:rPr>
        <w:t xml:space="preserve">ambiguity_affected</w:t>
      </w:r>
      <w:r>
        <w:t xml:space="preserve"> </w:t>
      </w:r>
      <w:r>
        <w:t xml:space="preserve">for a</w:t>
      </w:r>
      <w:r>
        <w:t xml:space="preserve"> </w:t>
      </w:r>
      <w:r>
        <w:t xml:space="preserve">negligible remainder.</w:t>
      </w:r>
    </w:p>
    <w:bookmarkEnd w:id="22"/>
    <w:bookmarkStart w:id="23" w:name="complete-event-study-evidence"/>
    <w:p>
      <w:pPr>
        <w:pStyle w:val="Heading1"/>
      </w:pPr>
      <w:r>
        <w:t xml:space="preserve">4. Complete event-study evidence</w:t>
      </w:r>
    </w:p>
    <w:p>
      <w:pPr>
        <w:pStyle w:val="FirstParagraph"/>
      </w:pPr>
      <w:r>
        <w:t xml:space="preserve">The complete family contains 49 core species, both response components where supported, and every registered contrast. Table S1 (</w:t>
      </w:r>
      <w:r>
        <w:rPr>
          <w:rStyle w:val="VerbatimChar"/>
        </w:rPr>
        <w:t xml:space="preserve">Table_S1_event_study_all_49_species_v7.csv</w:t>
      </w:r>
      <w:r>
        <w:t xml:space="preserve">) retains estimates, standard errors, confidence intervals, ratios, p-values, BH q-values, model sample sizes, status, and multiplicity family for the whole core family.</w:t>
      </w:r>
    </w:p>
    <w:p>
      <w:pPr>
        <w:pStyle w:val="BodyText"/>
      </w:pPr>
      <w:r>
        <w:t xml:space="preserve">Table S2 (</w:t>
      </w:r>
      <w:r>
        <w:rPr>
          <w:rStyle w:val="VerbatimChar"/>
        </w:rPr>
        <w:t xml:space="preserve">Table_S2_main_species_periods_v7.csv</w:t>
      </w:r>
      <w:r>
        <w:t xml:space="preserve">) gives the baseline difference, the 14-day pre-spawn summary, the immediate pre-spawn window, spawn start, early egg, late egg, and the primary active contrast for the eleven species discussed individually in the main text: Surf Scoter, White-winged Scoter, Harlequin Duck, Common Merganser, Hooded Merganser, Glaucous-winged Gull, Short-billed Gull, Bald Eagle, Mallard, American Crow, and Common Raven.</w:t>
      </w:r>
    </w:p>
    <w:p>
      <w:pPr>
        <w:pStyle w:val="BodyText"/>
      </w:pPr>
      <w:r>
        <w:t xml:space="preserve">Across estimable core species, BH-adjusted interaction counts were: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Detection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Detection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Pre-spawn, −14 to −1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 pre-spawn, −7 to −1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Spawn start, 0–3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egg, 4–14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egg, 15–28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active, 0–14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Counts refer to BH q &lt; 0.05 within the 49-species outcome-and-contrast family. They are descriptive summaries of correlated contrasts, not independent binomial trials. Detection was estimable for 48 of 49 species and conditional count for 46.</w:t>
      </w:r>
    </w:p>
    <w:bookmarkEnd w:id="23"/>
    <w:bookmarkStart w:id="24" w:name="X3c14356e1588e192f6f0963e2ea7cf837d570d2"/>
    <w:p>
      <w:pPr>
        <w:pStyle w:val="Heading1"/>
      </w:pPr>
      <w:r>
        <w:t xml:space="preserve">5. Family extremes outside the eleven discussed species</w:t>
      </w:r>
    </w:p>
    <w:p>
      <w:pPr>
        <w:pStyle w:val="FirstParagraph"/>
      </w:pPr>
      <w:r>
        <w:t xml:space="preserve">The eleven species discussed individually in the main text were named before execution and are not the largest effects in the family. Table 2 of the main manuscript (</w:t>
      </w:r>
      <w:r>
        <w:rPr>
          <w:rStyle w:val="VerbatimChar"/>
        </w:rPr>
        <w:t xml:space="preserve">Table_2_family_extremes_v7.csv</w:t>
      </w:r>
      <w:r>
        <w:t xml:space="preserve">) lists every BH-significant negative active interaction and every BH-significant positive active interaction outside that panel. The largest positive interactions in the family were American Herring Gull detection 1.49 (1.29–1.71), Iceland Gull detection 1.43 (1.30–1.57), and Long-tailed Duck conditional count 1.49 (1.33–1.67).</w:t>
      </w:r>
    </w:p>
    <w:p>
      <w:pPr>
        <w:pStyle w:val="BodyText"/>
      </w:pPr>
      <w:r>
        <w:t xml:space="preserve">Six detection interactions were negative at BH q &lt; 0.05: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Detection interaction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 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Rhinoceros Auklet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 (0.55–0.91)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Grebe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 (0.60–0.92)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Ring-billed Gull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 (0.69–0.90)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Black-bellied Plover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 (0.74–0.95)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Loon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 (0.84–0.97)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Raven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 (0.90–0.98)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0.0260</w:t>
            </w:r>
          </w:p>
        </w:tc>
      </w:tr>
    </w:tbl>
    <w:p>
      <w:pPr>
        <w:pStyle w:val="BodyText"/>
      </w:pPr>
      <w:r>
        <w:t xml:space="preserve">Ring-billed Gull was the only species negative in both components, with a conditional count interaction of 0.83 (0.74–0.94; q = 0.00956). Its decline is not consistent with a mechanism defined at the level of the gull guild, and it is discussed in the main text on that basis.</w:t>
      </w:r>
    </w:p>
    <w:bookmarkEnd w:id="24"/>
    <w:bookmarkStart w:id="25" w:name="specificity-comparators"/>
    <w:p>
      <w:pPr>
        <w:pStyle w:val="Heading1"/>
      </w:pPr>
      <w:r>
        <w:t xml:space="preserve">6. Specificity comparators</w:t>
      </w:r>
    </w:p>
    <w:p>
      <w:pPr>
        <w:pStyle w:val="FirstParagraph"/>
      </w:pPr>
      <w:r>
        <w:t xml:space="preserve">Gadwall and Northern Shoveler were detection-only specificity comparators, not guaranteed negative controls. Their complete results are in Table S3 (</w:t>
      </w:r>
      <w:r>
        <w:rPr>
          <w:rStyle w:val="VerbatimChar"/>
        </w:rPr>
        <w:t xml:space="preserve">Table_S3_specificity_comparators_v7.csv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near/reference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egg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egg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0–14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Gadwall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(0.80–0.97), q = 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0.94, q = 0.419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1.02, q = 0.856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1.03, q = 0.701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1.05, q = 0.506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(0.90–1.17), q = 0.704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Shoveler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(0.90–1.11), q = 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1.07, q = 0.419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1.24, q = 0.0917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1.25, q = 0.0114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1.27, q = 0.00246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 (1.08–1.43), q = 0.00564</w:t>
            </w:r>
          </w:p>
        </w:tc>
      </w:tr>
    </w:tbl>
    <w:p>
      <w:pPr>
        <w:pStyle w:val="BodyText"/>
      </w:pPr>
      <w:r>
        <w:t xml:space="preserve">Gadwall did not reproduce the active interaction. Northern Shoveler did, and therefore falsified the third prespecified prediction and demonstrates residual time-varying structure. Candidate explanations include zone-specific migration or habitat use, shoreline access, checklist submission, preferential visitation, source-date or source-point classification, and indirect ecology. The comparator result limits causal and trophic-specific interpretation.</w:t>
      </w:r>
    </w:p>
    <w:p>
      <w:pPr>
        <w:pStyle w:val="BodyText"/>
      </w:pPr>
      <w:r>
        <w:t xml:space="preserve">The two nominated comparators understate the issue, because the core family contains further taxa with no established roe-feeding pathway that also rose during days 0–14: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 0–14 d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 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Pintail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 (1.18–1.42)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7.32 × 10</w:t>
            </w:r>
            <w:r>
              <w:rPr>
                <w:vertAlign w:val="superscript"/>
              </w:rPr>
              <w:t xml:space="preserve">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Shoveler (comparator)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 (1.08–1.43)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American Wigeon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 (1.07–1.21)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 × 10</w:t>
            </w:r>
            <w:r>
              <w:rPr>
                <w:vertAlign w:val="superscript"/>
              </w:rPr>
              <w:t xml:space="preserve">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American Wigeon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flock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 (1.06–1.16)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 × 10</w:t>
            </w:r>
            <w:r>
              <w:rPr>
                <w:vertAlign w:val="superscript"/>
              </w:rPr>
              <w:t xml:space="preserve">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Mallard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flock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 (1.08–1.14)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 × 10</w:t>
            </w:r>
            <w:r>
              <w:rPr>
                <w:vertAlign w:val="superscript"/>
              </w:rPr>
              <w:t xml:space="preserve">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 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 (1.02–1.14)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0.0206</w:t>
            </w:r>
          </w:p>
        </w:tc>
      </w:tr>
    </w:tbl>
    <w:p>
      <w:pPr>
        <w:pStyle w:val="BodyText"/>
      </w:pPr>
      <w:r>
        <w:t xml:space="preserve">Four of the five dabbling ducks in the study (Mallard, Northern Pintail, American Wigeon, Northern Shoveler) showed a positive active interaction in at least one component; Gadwall was the exception. Northern Pintail’s detection interaction exceeded that of every species assigned to the main ecological panel. A two-species comparator panel drawn from a guild that mostly responds cannot bound the false-positive rate, and this is treated as a limitation of the comparator design in the main text rather than as a property of the herring signal.</w:t>
      </w:r>
    </w:p>
    <w:bookmarkEnd w:id="25"/>
    <w:bookmarkStart w:id="26" w:name="model-completion-and-warnings"/>
    <w:p>
      <w:pPr>
        <w:pStyle w:val="Heading1"/>
      </w:pPr>
      <w:r>
        <w:t xml:space="preserve">7. Model completion and warnings</w:t>
      </w:r>
    </w:p>
    <w:p>
      <w:pPr>
        <w:pStyle w:val="FirstParagraph"/>
      </w:pPr>
      <w:r>
        <w:t xml:space="preserve">The family contained 100 species-response fits and 1,400 contrast rows. Model statuses were 95 completed, one completed with a singular warning, three failed for insufficient support, and one failed numerically without fallback.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positive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insufficient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joint-cell support gate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Rhinoceros Auklet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positive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insufficient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joint-cell support gate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Glaucous Gull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numerical fit, no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failure code retained; no simplified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Glaucous Gull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positive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insufficient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joint-cell support gate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Gull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positive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with singular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retained with warning</w:t>
            </w:r>
          </w:p>
        </w:tc>
      </w:tr>
    </w:tbl>
    <w:p>
      <w:pPr>
        <w:pStyle w:val="BodyText"/>
      </w:pPr>
      <w:r>
        <w:t xml:space="preserve">All 22 fits for the eleven discussed species completed without convergence failure, rank deficiency, or singularity. The smallest released joint-cell support among them was 259 rows. Global joint support ranged from 2,992 near-zone checklists at spawn start to 28,655 reference-zone checklists in late egg. Exact year counts for near early- and immediate-pre cells were suppressed because fewer than 20 checklist years were represented.</w:t>
      </w:r>
    </w:p>
    <w:bookmarkEnd w:id="26"/>
    <w:bookmarkStart w:id="27" w:name="X3b849a22f1d6dac6ccf7ebaedafc33829d8d5e4"/>
    <w:p>
      <w:pPr>
        <w:pStyle w:val="Heading1"/>
      </w:pPr>
      <w:r>
        <w:t xml:space="preserve">8. Numerical, multiplicity, privacy, and integrity checks</w:t>
      </w:r>
    </w:p>
    <w:p>
      <w:pPr>
        <w:pStyle w:val="FirstParagraph"/>
      </w:pPr>
      <w:r>
        <w:t xml:space="preserve">All 1,344 finite contrast rows reproduced their exponentiated estimates and confidence limits. No written estimate was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or infinite. BH q-values were independently recalculated across all 42 role-outcome-contrast families and matched with a maximum absolute difference of 1.78 × 10</w:t>
      </w:r>
      <w:r>
        <w:rPr>
          <w:vertAlign w:val="superscript"/>
        </w:rPr>
        <w:t xml:space="preserve">-15</w:t>
      </w:r>
      <w:r>
        <w:t xml:space="preserve">.</w:t>
      </w:r>
    </w:p>
    <w:p>
      <w:pPr>
        <w:pStyle w:val="BodyText"/>
      </w:pPr>
      <w:r>
        <w:t xml:space="preserve">The production execution used committed code</w:t>
      </w:r>
      <w:r>
        <w:t xml:space="preserve"> </w:t>
      </w:r>
      <w:r>
        <w:rPr>
          <w:rStyle w:val="VerbatimChar"/>
        </w:rPr>
        <w:t xml:space="preserve">6bfef2c5b828ca392255d5b3365a2f84b8a2f9f2</w:t>
      </w:r>
      <w:r>
        <w:t xml:space="preserve">. Four protected-input hashes and seven released-output hashes passed. The source-link hash and concurrent-link joint-pairing gates passed. Zero records from 2026 onward were read. The release privacy scan detected no checklist, observer, locality, coordinate, credential, or protected-path violation. Outputs of the earlier registered analysis had no tracked changes.</w:t>
      </w:r>
    </w:p>
    <w:bookmarkEnd w:id="27"/>
    <w:bookmarkStart w:id="28" w:name="historical-registered-analyses"/>
    <w:p>
      <w:pPr>
        <w:pStyle w:val="Heading1"/>
      </w:pPr>
      <w:r>
        <w:t xml:space="preserve">9. Historical registered analyses</w:t>
      </w:r>
    </w:p>
    <w:p>
      <w:pPr>
        <w:pStyle w:val="FirstParagraph"/>
      </w:pPr>
      <w:r>
        <w:t xml:space="preserve">The following registered outputs remain part of the complete scientific record and are retained unchanged:</w:t>
      </w:r>
    </w:p>
    <w:p>
      <w:pPr>
        <w:pStyle w:val="Compact"/>
        <w:numPr>
          <w:ilvl w:val="0"/>
          <w:numId w:val="1001"/>
        </w:numPr>
      </w:pPr>
      <w:r>
        <w:t xml:space="preserve">historical M05 timing and distance family:</w:t>
      </w:r>
      <w:r>
        <w:t xml:space="preserve"> </w:t>
      </w:r>
      <w:r>
        <w:rPr>
          <w:rStyle w:val="VerbatimChar"/>
        </w:rPr>
        <w:t xml:space="preserve">tables_v3/Table_S2_all_M05_time_distance_effects_v3.csv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historical M05 guild timing family:</w:t>
      </w:r>
      <w:r>
        <w:t xml:space="preserve"> </w:t>
      </w:r>
      <w:r>
        <w:rPr>
          <w:rStyle w:val="VerbatimChar"/>
        </w:rPr>
        <w:t xml:space="preserve">tables_v3/Table_S2a_guild_event_time_effects_v3.csv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historical M08 active-minus-contemporaneous-reference contrasts:</w:t>
      </w:r>
      <w:r>
        <w:t xml:space="preserve"> </w:t>
      </w:r>
      <w:r>
        <w:rPr>
          <w:rStyle w:val="VerbatimChar"/>
        </w:rPr>
        <w:t xml:space="preserve">tables_v3/Table_S12_M08_active_minus_reference_v3.csv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historical M02 complete species effects:</w:t>
      </w:r>
      <w:r>
        <w:t xml:space="preserve"> </w:t>
      </w:r>
      <w:r>
        <w:rPr>
          <w:rStyle w:val="VerbatimChar"/>
        </w:rPr>
        <w:t xml:space="preserve">tables_v3/Table_S1_all_species_effects_v3.csv</w:t>
      </w:r>
      <w:r>
        <w:t xml:space="preserve">; and</w:t>
      </w:r>
    </w:p>
    <w:p>
      <w:pPr>
        <w:pStyle w:val="Compact"/>
        <w:numPr>
          <w:ilvl w:val="0"/>
          <w:numId w:val="1001"/>
        </w:numPr>
      </w:pPr>
      <w:r>
        <w:t xml:space="preserve">historical M29 specificity results:</w:t>
      </w:r>
      <w:r>
        <w:t xml:space="preserve"> </w:t>
      </w:r>
      <w:r>
        <w:rPr>
          <w:rStyle w:val="VerbatimChar"/>
        </w:rPr>
        <w:t xml:space="preserve">tables_v3/Table_4_specificity_sensitivity_v3.csv</w:t>
      </w:r>
      <w:r>
        <w:t xml:space="preserve">.</w:t>
      </w:r>
    </w:p>
    <w:p>
      <w:pPr>
        <w:pStyle w:val="FirstParagraph"/>
      </w:pPr>
      <w:r>
        <w:t xml:space="preserve">M05 used the registered six-window timing structure with early pre-spawn (−42 to −29 d) as baseline and separate additive time and distance margins. M08 was the registered active-minus-reference contrast for the historical active classification. Neither is the present joint period-by-zone difference-in-differences. The historical legacy aggregate release also did not identify the component-level engine after its allowed fitting path. Those facts are preserved rather than repaired retrospectively.</w:t>
      </w:r>
    </w:p>
    <w:bookmarkEnd w:id="28"/>
    <w:bookmarkStart w:id="29" w:name="reproducibility-and-governance"/>
    <w:p>
      <w:pPr>
        <w:pStyle w:val="Heading1"/>
      </w:pPr>
      <w:r>
        <w:t xml:space="preserve">10. Reproducibility and governance</w:t>
      </w:r>
    </w:p>
    <w:p>
      <w:pPr>
        <w:pStyle w:val="FirstParagraph"/>
      </w:pPr>
      <w:r>
        <w:t xml:space="preserve">Fixture execution tested exact period and zone boundaries, concurrent-link pairing, join cardinality, detection and count semantics, and protected-input guards. Production required the explicit acknowledgement</w:t>
      </w:r>
      <w:r>
        <w:t xml:space="preserve"> </w:t>
      </w:r>
      <w:r>
        <w:rPr>
          <w:rStyle w:val="VerbatimChar"/>
        </w:rPr>
        <w:t xml:space="preserve">through_2025_post_result_refinement_v1</w:t>
      </w:r>
      <w:r>
        <w:t xml:space="preserve">. No result was used to change the fixed periods, the primary 0–14 day weights, species definitions, eligibility, model structure, or the specificity panel.</w:t>
      </w:r>
    </w:p>
    <w:p>
      <w:pPr>
        <w:pStyle w:val="BodyText"/>
      </w:pPr>
      <w:r>
        <w:t xml:space="preserve">Manuscript figures and tables are rebuilt from the released aggregate outputs by</w:t>
      </w:r>
      <w:r>
        <w:t xml:space="preserve"> </w:t>
      </w:r>
      <w:r>
        <w:rPr>
          <w:rStyle w:val="VerbatimChar"/>
        </w:rPr>
        <w:t xml:space="preserve">scripts/build_mer_v7_event_study_assets.py</w:t>
      </w:r>
      <w:r>
        <w:t xml:space="preserve">, which refuses to run unless the execution record reports its review gate and the complete 49-species family is present.</w:t>
      </w:r>
    </w:p>
    <w:p>
      <w:pPr>
        <w:pStyle w:val="BodyText"/>
      </w:pPr>
      <w:r>
        <w:t xml:space="preserve">Current results are exploratory and estimand-refining until prospective confirmation. The 2026–2028 response remains locked and may not be inspected through an interim look. A future confirmation must use the complete prospective release and an approved execution package.</w:t>
      </w:r>
    </w:p>
    <w:bookmarkEnd w:id="29"/>
    <w:bookmarkStart w:id="30" w:name="supplementary-file-inventory"/>
    <w:p>
      <w:pPr>
        <w:pStyle w:val="Heading1"/>
      </w:pPr>
      <w:r>
        <w:t xml:space="preserve">11. Supplementary file inventory</w:t>
      </w:r>
    </w:p>
    <w:p>
      <w:pPr>
        <w:pStyle w:val="FirstParagraph"/>
      </w:pPr>
      <w:r>
        <w:t xml:space="preserve">Every file below is cited in this supplement or in the main manuscript.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Table_S1_event_study_all_49_species_v7.csv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core-species effect family, all contrasts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Table_S2_main_species_periods_v7.csv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baseline, pre-spawn, immediate pre-spawn, onset, egg, and active contrasts for the eleven discussed species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Table_S3_specificity_comparators_v7.csv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Gadwall and Northern Shoveler detection families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Table_1_main_species_active_v7.csv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 (main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eleven-species primary 0–14 day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Table_2_family_extremes_v7.csv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2 (main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BH-significant negative interactions and all BH-significant positive interactions outside the eleven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model_diagnostics_v1.csv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fit states, warnings, and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model_term_support_v1.csv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joint-cell model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joint_exposure_support_v1.csv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period-by-zone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execution_record_v1.yml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authorization, hashes, counts, and final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output_hash_manifest_v1.csv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hashes for released aggregate outputs</w:t>
            </w:r>
          </w:p>
        </w:tc>
      </w:tr>
    </w:tbl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ajorFont>
      <a:min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Coastal-bird responses through Pacific herring spawning in the Strait of Georgia</dc:title>
  <dc:creator>Jacob T. Dingwall</dc:creator>
  <dc:language>en</dc:language>
  <cp:keywords/>
  <dcterms:created xsi:type="dcterms:W3CDTF">2026-07-23T22:48:28Z</dcterms:created>
  <dcterms:modified xsi:type="dcterms:W3CDTF">2026-07-23T22:48:28Z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mer_references_v7.bib</vt:lpwstr>
  </property>
  <property fmtid="{D5CDD505-2E9C-101B-9397-08002B2CF9AE}" pid="5" name="by-author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