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22 July 2026</w:t>
      </w:r>
    </w:p>
    <w:p>
      <w:pPr>
        <w:pStyle w:val="BodyText"/>
      </w:pPr>
      <w:r>
        <w:t xml:space="preserve">Editor</w:t>
      </w:r>
      <w:r>
        <w:br/>
      </w:r>
      <w:r>
        <w:rPr>
          <w:i/>
          <w:iCs/>
        </w:rPr>
        <w:t xml:space="preserve">Marine Environmental Research</w:t>
      </w:r>
    </w:p>
    <w:p>
      <w:pPr>
        <w:pStyle w:val="BodyText"/>
      </w:pPr>
      <w:r>
        <w:t xml:space="preserve">Re: Full-length Article submission, “Spatiotemporal associations between coastal birds and Pacific herring spawning in British Columbia”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consider this manuscript as a Full-length Article in</w:t>
      </w:r>
      <w:r>
        <w:t xml:space="preserve"> </w:t>
      </w:r>
      <w:r>
        <w:rPr>
          <w:i/>
          <w:iCs/>
        </w:rPr>
        <w:t xml:space="preserve">Marine Environmental Research</w:t>
      </w:r>
      <w:r>
        <w:t xml:space="preserve">. We ask whether the short-lived Pacific herring spawn pulse produces a spatially local, temporally structured, and taxon-specific signature in coastal bird checklists. The study links effort-aware complete eBird checklists to event-level Fisheries and Oceans Canada spawn information and tests biologically motivated predictions using registered analyses.</w:t>
      </w:r>
    </w:p>
    <w:p>
      <w:pPr>
        <w:pStyle w:val="BodyText"/>
      </w:pPr>
      <w:r>
        <w:t xml:space="preserve">The results provide a partial and qualified resource-pulse answer. Surf Scoter and Short-billed Gull showed the clearest cross-region consistency, with positive detection and conditional-count coefficients in both primary regions. Guild responses were heterogeneous, and event-window coefficients did not form one community-wide trajectory. Matched WCVI spatial and observer sensitivities preserved most directions, and response-blind shifted-exposure placebos were null after Benjamini-Hochberg adjustment.</w:t>
      </w:r>
    </w:p>
    <w:p>
      <w:pPr>
        <w:pStyle w:val="BodyText"/>
      </w:pPr>
      <w:r>
        <w:t xml:space="preserve">The manuscript prominently reports a non-null prespecified Strait of Georgia specificity panel. That result constrains causal and simple ecological-specificity interpretations without erasing the checklist-conditional associations or directly testing conditional positive-count responses. The paper therefore presents the ecological signal, its taxonomic and regional heterogeneity, and the observation-process alternatives needed for a balanced interpretation.</w:t>
      </w:r>
    </w:p>
    <w:p>
      <w:pPr>
        <w:pStyle w:val="BodyText"/>
      </w:pPr>
      <w:r>
        <w:t xml:space="preserve">The manuscript fits the journal's interest in biological interactions and quantitative monitoring of coastal systems. Relevant reviewer expertise includes coastal-bird and forage-fish ecology, community-science inference, mixed-effects models, spatial exposure linkage, falsification methods, and reproducible ecological analysis.</w:t>
      </w:r>
    </w:p>
    <w:p>
      <w:pPr>
        <w:pStyle w:val="BodyText"/>
      </w:pPr>
      <w:r>
        <w:t xml:space="preserve">[AUTHOR TO CONFIRM BEFORE SUBMISSION: This work has not been published previously except as any disclosed preprint, is not under consideration elsewhere, and its submission and publication are approved by the author and responsible institution.]</w:t>
      </w:r>
    </w:p>
    <w:p>
      <w:pPr>
        <w:pStyle w:val="BodyText"/>
      </w:pPr>
      <w:r>
        <w:t xml:space="preserve">[AUTHOR TO CONFIRM BEFORE SUBMISSION: Identify any preprint or closely related submitted/published work, or state “None.”]</w:t>
      </w:r>
    </w:p>
    <w:p>
      <w:pPr>
        <w:pStyle w:val="BodyText"/>
      </w:pPr>
      <w:r>
        <w:t xml:space="preserve">Privacy-safe aggregate data, code, specifications, and provenance are available at</w:t>
      </w:r>
      <w:r>
        <w:t xml:space="preserve"> </w:t>
      </w:r>
      <w:hyperlink r:id="rId20">
        <w:r>
          <w:rPr>
            <w:rStyle w:val="Hyperlink"/>
          </w:rPr>
          <w:t xml:space="preserve">https://github.com/JTDingwall/herring-x-ebird-version-2</w:t>
        </w:r>
      </w:hyperlink>
      <w:r>
        <w:t xml:space="preserve">. Restricted eBird records and protected row-level derivatives cannot be redistributed; the manuscript explains the source-access route and reconstruction requirements. No production response model or protected sensitivity was rerun for manuscript preparation, no statistical estimate changed, and no frozen analysis artifact was altered.</w:t>
      </w:r>
    </w:p>
    <w:p>
      <w:pPr>
        <w:pStyle w:val="BodyText"/>
      </w:pPr>
      <w:r>
        <w:t xml:space="preserve">Thank you for considering the manuscript.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Jacob T. Dingwall</w:t>
      </w:r>
      <w:r>
        <w:br/>
      </w:r>
      <w:r>
        <w:t xml:space="preserve">University of Victoria</w:t>
      </w:r>
      <w:r>
        <w:br/>
      </w:r>
      <w:hyperlink r:id="rId21">
        <w:r>
          <w:rPr>
            <w:rStyle w:val="Hyperlink"/>
          </w:rPr>
          <w:t xml:space="preserve">dingwalljake@gmail.com</w:t>
        </w:r>
      </w:hyperlink>
      <w:r>
        <w:br/>
      </w:r>
      <w:r>
        <w:t xml:space="preserve">[AUTHOR TO SUPPLY: full postal address and telephone number]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JTDingwall/herring-x-ebird-version-2" TargetMode="External" /><Relationship Type="http://schemas.openxmlformats.org/officeDocument/2006/relationships/hyperlink" Id="rId21" Target="mailto:dingwalljak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JTDingwall/herring-x-ebird-version-2" TargetMode="External" /><Relationship Type="http://schemas.openxmlformats.org/officeDocument/2006/relationships/hyperlink" Id="rId21" Target="mailto:dingwalljak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2026-07-22T18:01:56Z</dcterms:created>
  <dcterms:modified xsi:type="dcterms:W3CDTF">2026-07-22T18:01:56Z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