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-options-for-author-consideration"/>
    <w:p>
      <w:pPr>
        <w:pStyle w:val="Heading1"/>
      </w:pPr>
      <w:r>
        <w:t xml:space="preserve">Title options for author consideration</w:t>
      </w:r>
    </w:p>
    <w:p>
      <w:pPr>
        <w:pStyle w:val="FirstParagraph"/>
      </w:pPr>
      <w:r>
        <w:t xml:space="preserve">The author-approved submission title remains unchanged:</w:t>
      </w:r>
      <w:r>
        <w:t xml:space="preserve"> </w:t>
      </w:r>
      <w:r>
        <w:rPr>
          <w:b/>
          <w:bCs/>
        </w:rPr>
        <w:t xml:space="preserve">Spatiotemporal associations between coastal birds and Pacific herring spawning in British Columbia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Do coastal birds track Pacific herring spawning? Evidence from complete eBird checklists in British Columbia</w:t>
      </w:r>
    </w:p>
    <w:p>
      <w:pPr>
        <w:pStyle w:val="Compact"/>
        <w:numPr>
          <w:ilvl w:val="0"/>
          <w:numId w:val="1001"/>
        </w:numPr>
      </w:pPr>
      <w:r>
        <w:t xml:space="preserve">Heterogeneous coastal bird associations with Pacific herring spawning across British Columbia</w:t>
      </w:r>
    </w:p>
    <w:p>
      <w:pPr>
        <w:pStyle w:val="Compact"/>
        <w:numPr>
          <w:ilvl w:val="0"/>
          <w:numId w:val="1001"/>
        </w:numPr>
      </w:pPr>
      <w:r>
        <w:t xml:space="preserve">Pacific herring spawning leaves a heterogeneous and partly non-specific signature in coastal bird checklists</w:t>
      </w:r>
    </w:p>
    <w:p>
      <w:pPr>
        <w:pStyle w:val="FirstParagraph"/>
      </w:pPr>
      <w:r>
        <w:t xml:space="preserve">These are optional editorial alternatives only; none has been substituted into the manuscript or submission metadata.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2026-07-22T18:01:57Z</dcterms:created>
  <dcterms:modified xsi:type="dcterms:W3CDTF">2026-07-22T18:01:57Z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