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95F2" w14:textId="77777777" w:rsidR="00F46B3E" w:rsidRPr="00FA3BFA" w:rsidRDefault="00F46B3E">
      <w:pPr>
        <w:pStyle w:val="Title"/>
        <w:rPr>
          <w:rFonts w:ascii="Times New Roman" w:hAnsi="Times New Roman" w:cs="Times New Roman"/>
        </w:rPr>
      </w:pPr>
      <w:r w:rsidRPr="00FA3BFA">
        <w:rPr>
          <w:rFonts w:ascii="Times New Roman" w:hAnsi="Times New Roman" w:cs="Times New Roman"/>
        </w:rPr>
        <w:t xml:space="preserve">Coastal bird responses to Pacific herring spawn revealed by two decades of </w:t>
      </w:r>
      <w:r w:rsidR="00B2450E" w:rsidRPr="00FA3BFA">
        <w:rPr>
          <w:rFonts w:ascii="Times New Roman" w:hAnsi="Times New Roman" w:cs="Times New Roman"/>
        </w:rPr>
        <w:t xml:space="preserve">citizen science </w:t>
      </w:r>
      <w:r w:rsidRPr="00FA3BFA">
        <w:rPr>
          <w:rFonts w:ascii="Times New Roman" w:hAnsi="Times New Roman" w:cs="Times New Roman"/>
        </w:rPr>
        <w:t>records in the Strait of Georgia</w:t>
      </w:r>
    </w:p>
    <w:p w14:paraId="005C1FD0" w14:textId="77777777" w:rsidR="00C15184" w:rsidRPr="00FA3BFA" w:rsidRDefault="00F46B3E">
      <w:pPr>
        <w:pStyle w:val="Subtitle"/>
        <w:rPr>
          <w:rFonts w:cs="Times New Roman"/>
        </w:rPr>
      </w:pPr>
      <w:r w:rsidRPr="00FA3BFA">
        <w:rPr>
          <w:rFonts w:cs="Times New Roman"/>
        </w:rPr>
        <w:t>Jacob T. Dingwall</w:t>
      </w:r>
    </w:p>
    <w:p w14:paraId="693D1932" w14:textId="77777777" w:rsidR="00C15184" w:rsidRPr="00FA3BFA" w:rsidRDefault="00000000">
      <w:pPr>
        <w:rPr>
          <w:rFonts w:cs="Times New Roman"/>
        </w:rPr>
      </w:pPr>
      <w:r w:rsidRPr="00FA3BFA">
        <w:rPr>
          <w:rFonts w:cs="Times New Roman"/>
          <w:color w:val="000000"/>
        </w:rPr>
        <w:t>University of Victoria, 800 Finnerty Road, Victoria, BC V8P 5C2, Canada</w:t>
      </w:r>
      <w:r w:rsidRPr="00FA3BFA">
        <w:rPr>
          <w:rFonts w:cs="Times New Roman"/>
          <w:color w:val="000000"/>
        </w:rPr>
        <w:br/>
        <w:t>Corresponding author: Jacob T. Dingwall; dingwalljake@gmail.com</w:t>
      </w:r>
      <w:r w:rsidRPr="00FA3BFA">
        <w:rPr>
          <w:rFonts w:cs="Times New Roman"/>
          <w:color w:val="000000"/>
        </w:rPr>
        <w:br/>
        <w:t>ORCID: 0009-0007-8389-6947</w:t>
      </w:r>
    </w:p>
    <w:p w14:paraId="67FC7A9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Abstract</w:t>
      </w:r>
    </w:p>
    <w:p w14:paraId="5BF6E803" w14:textId="77777777" w:rsidR="00C15184" w:rsidRPr="00FA3BFA" w:rsidRDefault="00000000">
      <w:pPr>
        <w:rPr>
          <w:rFonts w:cs="Times New Roman"/>
        </w:rPr>
      </w:pPr>
      <w:r w:rsidRPr="00FA3BFA">
        <w:rPr>
          <w:rFonts w:cs="Times New Roman"/>
        </w:rPr>
        <w:t>Pacific herring (</w:t>
      </w:r>
      <w:r w:rsidRPr="00FA3BFA">
        <w:rPr>
          <w:rFonts w:cs="Times New Roman"/>
          <w:i/>
        </w:rPr>
        <w:t xml:space="preserve">Clupea pallasii</w:t>
      </w:r>
      <w:r w:rsidRPr="00FA3BFA">
        <w:rPr>
          <w:rFonts w:cs="Times New Roman"/>
        </w:rPr>
        <w:t>) spawn briefly in shallow coastal water, leaving adhesive eggs on marine vegetation and drawing birds to the coast. Migration, habitat, shoreline access and observer behaviour can change what people record at the same time of year. This study linked 1,120 Fisheries and Oceans Canada spawning records to 217,200 complete eBird checklists from the Strait of Georgia, British Columbia, between 2005 and 2025. For 49 coastal bird species, it tested whether the gap between checklists within 5 km of a recorded spawn and those 5 to 20 km away widened after spawning began. How often a species was reported and how many were counted when an observer supplied a number were analysed separately. Counts rose more consistently than reports: 18 species were counted in larger numbers and 13 were reported more often. Timing also differed among feeding groups. Diving sea ducks reached their largest counts once eggs were available, while gulls and shoreline scavengers responded as spawning began. Each spring, herring spawning changes what observers record along this coast and does so differently among birds that feed in different ways.</w:t>
      </w:r>
    </w:p>
    <w:p w14:paraId="2A2FA50A" w14:textId="77777777" w:rsidR="00C15184" w:rsidRPr="00FA3BFA" w:rsidRDefault="00000000">
      <w:pPr>
        <w:rPr>
          <w:rFonts w:cs="Times New Roman"/>
        </w:rPr>
      </w:pPr>
      <w:r w:rsidRPr="00FA3BFA">
        <w:rPr>
          <w:rFonts w:cs="Times New Roman"/>
        </w:rPr>
        <w:t>Keywords: Pacific herring; eBird; citizen science; resource pulse; coastal birds; checklist reporting</w:t>
      </w:r>
    </w:p>
    <w:p w14:paraId="00DB4455"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1 Introduction</w:t>
      </w:r>
    </w:p>
    <w:p w14:paraId="02B66FD9" w14:textId="489CE6AC" w:rsidR="00C15184" w:rsidRPr="00FA3BFA" w:rsidRDefault="00000000">
      <w:pPr>
        <w:rPr>
          <w:rFonts w:cs="Times New Roman"/>
        </w:rPr>
      </w:pPr>
      <w:r w:rsidRPr="00FA3BFA">
        <w:rPr>
          <w:rFonts w:cs="Times New Roman"/>
        </w:rPr>
        <w:t>Resource pulses are brief concentrations of food separated by much longer periods when that food is scarce. They can change where animals feed and which habitats they use within hours, while effects on survival or reproduction appear later, if at all. The form and strength of the response depend on how much food arrives, how long it remains, how predictably it returns and how quickly consumers can reach it (Yang et al. 2008; Holt 2008; Nowlin, Vanni, and Yang 2008).</w:t>
      </w:r>
      <w:r w:rsidR="00FA3BFA">
        <w:rPr>
          <w:rFonts w:cs="Times New Roman"/>
        </w:rPr>
        <w:t xml:space="preserve"> </w:t>
      </w:r>
      <w:r w:rsidRPr="00FA3BFA">
        <w:rPr>
          <w:rFonts w:cs="Times New Roman"/>
        </w:rPr>
        <w:t xml:space="preserve">For a mobile consumer, a pulse need not occur in one place at one time. When similar events recur across a region and shift in date, an animal can extend the feeding opportunity by finding one event after another (Armstrong et al. 2016). Birds can search over large areas and change sites quickly, but species differ in the distances they travel and in how they locate an event. </w:t>
      </w:r>
    </w:p>
    <w:p w14:paraId="2BED92F4" w14:textId="21C28F6D" w:rsidR="00C15184" w:rsidRPr="00FA3BFA" w:rsidRDefault="00EC6023">
      <w:commentRangeStart w:id="132"/>
      <w:commentRangeStart w:id="3"/>
      <w:pPr>
        <w:rPr>
          <w:rFonts w:cs="Times New Roman"/>
        </w:rPr>
      </w:pPr>
      <w:r>
        <w:rPr>
          <w:b w:val="0"/>
        </w:rPr>
        <w:t xml:space="preserve">Pacific herring (</w:t>
      </w:r>
      <w:r>
        <w:rPr>
          <w:b w:val="0"/>
          <w:i/>
        </w:rPr>
        <w:t xml:space="preserve">Clupea pallasii</w:t>
      </w:r>
      <w:r>
        <w:rPr>
          <w:b w:val="0"/>
        </w:rPr>
        <w:t xml:space="preserve">) spawning is one of the largest recurrent food pulses on this coast. Adults crowd into shallow water in late winter </w:t>
      </w:r>
      <w:r>
        <w:rPr>
          <w:b w:val="0"/>
        </w:rPr>
        <w:t xml:space="preserve">and </w:t>
      </w:r>
      <w:r>
        <w:rPr>
          <w:b w:val="0"/>
        </w:rPr>
        <w:t xml:space="preserve">early spring and attach adhesive eggs onto marine vegetation in the intertidal and shallow subtidal (Haegele and Schweigert 1985; Dingwall et al. 2026). Spawning at </w:t>
      </w:r>
      <w:r>
        <w:rPr>
          <w:b w:val="0"/>
        </w:rPr>
        <w:t xml:space="preserve">any </w:t>
      </w:r>
      <w:r>
        <w:rPr>
          <w:b w:val="0"/>
        </w:rPr>
        <w:t xml:space="preserve">one shoreline can pass </w:t>
      </w:r>
      <w:r>
        <w:rPr>
          <w:b w:val="0"/>
        </w:rPr>
        <w:t xml:space="preserve">quickly, and on </w:t>
      </w:r>
      <w:r>
        <w:rPr>
          <w:b w:val="0"/>
        </w:rPr>
        <w:t xml:space="preserve">the day of </w:t>
      </w:r>
      <w:r>
        <w:rPr>
          <w:b w:val="0"/>
        </w:rPr>
        <w:t xml:space="preserve">spawn </w:t>
      </w:r>
      <w:r>
        <w:rPr>
          <w:b w:val="0"/>
        </w:rPr>
        <w:t xml:space="preserve">the fish are vulnerable and very close to shore, </w:t>
      </w:r>
      <w:r>
        <w:rPr>
          <w:b w:val="0"/>
        </w:rPr>
        <w:t xml:space="preserve">with </w:t>
      </w:r>
      <w:r>
        <w:rPr>
          <w:b w:val="0"/>
        </w:rPr>
        <w:t xml:space="preserve">some </w:t>
      </w:r>
      <w:r>
        <w:rPr>
          <w:b w:val="0"/>
        </w:rPr>
        <w:t xml:space="preserve">left </w:t>
      </w:r>
      <w:r>
        <w:rPr>
          <w:b w:val="0"/>
        </w:rPr>
        <w:t xml:space="preserve">stranded as the tide recedes. The eggs </w:t>
      </w:r>
      <w:r>
        <w:rPr>
          <w:b w:val="0"/>
        </w:rPr>
        <w:t xml:space="preserve">then </w:t>
      </w:r>
      <w:r>
        <w:rPr>
          <w:b w:val="0"/>
        </w:rPr>
        <w:t xml:space="preserve">remain on marine vegetation for around two weeks before hatching or washing </w:t>
      </w:r>
      <w:r>
        <w:rPr>
          <w:b w:val="0"/>
        </w:rPr>
        <w:t xml:space="preserve">away. Although the same general regions are used again from year to year, the exact shoreline, extent and date shift among years (Hay and Kronlund 1987; Hay et al. 2009; Rooper et al. 2024), so the pulse is predictable at the scale of a coastal region but much less so at any particular beach. What is available also changes as an event proceeds, because adult fish create a short feeding opportunity when they enter the shallows, whereas attached eggs persist after the adults have left, and eggs on floating vegetation or exposed by a falling tide remain reachable by other routes.</w:t>
      </w:r>
      <w:commentRangeEnd w:id="3"/>
      <w:r>
        <w:rPr>
          <w:b w:val="0"/>
        </w:rPr>
        <w:commentReference w:id="3"/>
      </w:r>
      <w:commentRangeEnd w:id="132"/>
      <w:r>
        <w:rPr>
          <w:b w:val="0"/>
        </w:rPr>
        <w:commentReference w:id="132"/>
      </w:r>
    </w:p>
    <w:p w14:paraId="1E2F88C1" w14:textId="77777777" w:rsidR="00C15184" w:rsidRPr="00FA3BFA" w:rsidRDefault="00000000">
      <w:commentRangeStart w:id="131"/>
      <w:commentRangeStart w:id="2"/>
      <w:pPr>
        <w:rPr>
          <w:rFonts w:cs="Times New Roman"/>
          <w:strike/>
          <w:rPrChange w:id="1" w:author="Jake Dingwall" w:date="2026-07-26T12:24:00Z" w16du:dateUtc="2026-07-26T19:24:00Z">
            <w:rPr>
              <w:rFonts w:cs="Times New Roman"/>
            </w:rPr>
          </w:rPrChange>
        </w:rPr>
      </w:pPr>
      <w:r>
        <w:rPr>
          <w:b w:val="0"/>
        </w:rPr>
        <w:t xml:space="preserve">Birds reach this food in different ways. Surf Scoter (</w:t>
      </w:r>
      <w:r>
        <w:rPr>
          <w:b w:val="0"/>
          <w:i/>
        </w:rPr>
        <w:t xml:space="preserve">Melanitta perspicillata</w:t>
      </w:r>
      <w:r>
        <w:rPr>
          <w:b w:val="0"/>
        </w:rPr>
        <w:t xml:space="preserve">), White-winged Scoter (</w:t>
      </w:r>
      <w:r>
        <w:rPr>
          <w:b w:val="0"/>
          <w:i/>
        </w:rPr>
        <w:t xml:space="preserve">Melanitta deglandi</w:t>
      </w:r>
      <w:r>
        <w:rPr>
          <w:b w:val="0"/>
        </w:rPr>
        <w:t xml:space="preserve">) and Harlequin Duck (</w:t>
      </w:r>
      <w:r>
        <w:rPr>
          <w:b w:val="0"/>
          <w:i/>
        </w:rPr>
        <w:t xml:space="preserve">Histrionicus histrionicus</w:t>
      </w:r>
      <w:r>
        <w:rPr>
          <w:b w:val="0"/>
        </w:rPr>
        <w:t xml:space="preserve">) dive for attached </w:t>
      </w:r>
      <w:r>
        <w:rPr>
          <w:b w:val="0"/>
        </w:rPr>
        <w:t xml:space="preserve">eggs, whereas loons, mergansers, </w:t>
      </w:r>
      <w:r>
        <w:rPr>
          <w:b w:val="0"/>
        </w:rPr>
        <w:t xml:space="preserve">grebes </w:t>
      </w:r>
      <w:r>
        <w:rPr>
          <w:b w:val="0"/>
        </w:rPr>
        <w:t xml:space="preserve">and cormorants </w:t>
      </w:r>
      <w:r>
        <w:rPr>
          <w:b w:val="0"/>
        </w:rPr>
        <w:t xml:space="preserve">pursue fish </w:t>
      </w:r>
      <w:r>
        <w:rPr>
          <w:b w:val="0"/>
        </w:rPr>
        <w:t xml:space="preserve">and </w:t>
      </w:r>
      <w:r>
        <w:rPr>
          <w:b w:val="0"/>
        </w:rPr>
        <w:t xml:space="preserve">are </w:t>
      </w:r>
      <w:r>
        <w:rPr>
          <w:b w:val="0"/>
        </w:rPr>
        <w:t xml:space="preserve">therefore </w:t>
      </w:r>
      <w:r>
        <w:rPr>
          <w:b w:val="0"/>
        </w:rPr>
        <w:t xml:space="preserve">expected to </w:t>
      </w:r>
      <w:r>
        <w:rPr>
          <w:b w:val="0"/>
        </w:rPr>
        <w:t xml:space="preserve">concentrate </w:t>
      </w:r>
      <w:r>
        <w:rPr>
          <w:b w:val="0"/>
        </w:rPr>
        <w:t xml:space="preserve">on adults, although they may </w:t>
      </w:r>
      <w:r>
        <w:rPr>
          <w:b w:val="0"/>
        </w:rPr>
        <w:t xml:space="preserve">take eggs </w:t>
      </w:r>
      <w:r>
        <w:rPr>
          <w:b w:val="0"/>
        </w:rPr>
        <w:t xml:space="preserve">as well. Gulls are more flexible again, taking eggs from </w:t>
      </w:r>
      <w:r>
        <w:rPr>
          <w:b w:val="0"/>
        </w:rPr>
        <w:t xml:space="preserve">floating vegetation and herring pushed to the surface or into very shallow water, as well as eggs and spent fish </w:t>
      </w:r>
      <w:r>
        <w:rPr>
          <w:b w:val="0"/>
        </w:rPr>
        <w:t xml:space="preserve">stranded </w:t>
      </w:r>
      <w:r>
        <w:rPr>
          <w:b w:val="0"/>
        </w:rPr>
        <w:t xml:space="preserve">along the shore. Bald Eagles </w:t>
      </w:r>
      <w:r>
        <w:rPr>
          <w:b w:val="0"/>
        </w:rPr>
        <w:t xml:space="preserve">(</w:t>
      </w:r>
      <w:r>
        <w:rPr>
          <w:b w:val="0"/>
          <w:i/>
        </w:rPr>
        <w:t xml:space="preserve">Haliaeetus leucocephalus</w:t>
      </w:r>
      <w:r>
        <w:rPr>
          <w:b w:val="0"/>
        </w:rPr>
        <w:t xml:space="preserve">) </w:t>
      </w:r>
      <w:r>
        <w:rPr>
          <w:b w:val="0"/>
        </w:rPr>
        <w:t xml:space="preserve">and corvids work the shoreline, shorebirds take eggs exposed by a falling tide, and alcids pursue fish in open </w:t>
      </w:r>
      <w:r>
        <w:rPr>
          <w:b w:val="0"/>
        </w:rPr>
        <w:t xml:space="preserve">water and have little reason to gather at a shoreline deposit at all.</w:t>
      </w:r>
      <w:commentRangeEnd w:id="2"/>
      <w:r>
        <w:rPr>
          <w:b w:val="0"/>
        </w:rPr>
        <w:commentReference w:id="2"/>
      </w:r>
      <w:commentRangeEnd w:id="131"/>
      <w:r>
        <w:rPr>
          <w:b w:val="0"/>
        </w:rPr>
        <w:commentReference w:id="131"/>
      </w:r>
    </w:p>
    <w:p w14:paraId="209E1920" w14:textId="77777777" w:rsidR="00C15184" w:rsidRPr="00FA3BFA" w:rsidRDefault="00000000">
      <w:pPr>
        <w:rPr>
          <w:rFonts w:cs="Times New Roman"/>
          <w:strike/>
          <w:rPrChange w:id="4" w:author="Jake Dingwall" w:date="2026-07-26T12:24:00Z" w16du:dateUtc="2026-07-26T19:24:00Z">
            <w:rPr>
              <w:rFonts w:cs="Times New Roman"/>
            </w:rPr>
          </w:rPrChange>
        </w:rPr>
      </w:pPr>
      <w:r w:rsidRPr="00FA3BFA">
        <w:rPr>
          <w:rFonts w:cs="Times New Roman"/>
        </w:rPr>
        <w:t>Birds can remove a large share of a season's egg deposition (Haegele 1993; Bishop and Green 2001). Harlequin Ducks gather at spawning sites in the Strait of Georgia (Rodway et al. 2003), while Surf and White-winged Scoters change their foraging and move beyond ordinary wintering areas when herring spawn (Lewis, Esler, and Boyd 2007; Lok et al. 2008). Surf Scoters can also follow successive spawning areas during spring migration (Lok et al. 2012). At a broader scale, wintering waterbird distributions track the timing and location of herring spawn (T. M. Sullivan, Butler, and Boyd 2002; Kelly, Rothenbach, and Weathers 2018), and many other vertebrates use the same pulse (Willson and Womble 2006).</w:t>
      </w:r>
    </w:p>
    <w:p w14:paraId="6C369F43" w14:textId="47F63A61" w:rsidR="00762553" w:rsidRPr="00FA3BFA" w:rsidRDefault="00000000">
      <w:pPr>
        <w:rPr>
          <w:rFonts w:cs="Times New Roman"/>
          <w:strike/>
          <w:rPrChange w:id="6" w:author="Jake Dingwall" w:date="2026-07-26T12:24:00Z" w16du:dateUtc="2026-07-26T19:24:00Z">
            <w:rPr/>
          </w:rPrChange>
        </w:rPr>
      </w:pPr>
      <w:r w:rsidRPr="00FA3BFA">
        <w:rPr>
          <w:rFonts w:cs="Times New Roman"/>
        </w:rPr>
        <w:t>This evidence is strong for particular birds and places, but it leaves the regional community poorly described</w:t>
      </w:r>
      <w:r w:rsidR="00FA3BFA">
        <w:rPr>
          <w:rFonts w:cs="Times New Roman"/>
        </w:rPr>
        <w:t xml:space="preserve"> and quantified</w:t>
      </w:r>
      <w:r w:rsidRPr="00FA3BFA">
        <w:rPr>
          <w:rFonts w:cs="Times New Roman"/>
        </w:rPr>
        <w:t>. Focused field studies usually follow species already known to gather at a small number of spawning sites. They can show that a bird eats herring, changes its foraging or moves toward a spawn, but not which species carry an association across many events and years. They also cannot show whether the published specialists have the strongest regional signal, whether feeding groups respond at different points in an event, or which plausible consumers show nothing.</w:t>
      </w:r>
    </w:p>
    <w:p w14:paraId="0688C7DA" w14:textId="4B82981C" w:rsidR="00BF0BAC" w:rsidRPr="00FA3BFA" w:rsidRDefault="00000000">
      <w:pPr>
        <w:rPr>
          <w:rFonts w:cs="Times New Roman"/>
        </w:rPr>
      </w:pPr>
      <w:r w:rsidRPr="00FA3BFA">
        <w:rPr>
          <w:rFonts w:cs="Times New Roman"/>
        </w:rPr>
        <w:t xml:space="preserve">Two records overlap in the </w:t>
      </w:r>
      <w:r w:rsidRPr="00FA3BFA">
        <w:rPr>
          <w:rFonts w:cs="Times New Roman"/>
        </w:rPr>
        <w:t xml:space="preserve">Strait of Georgia </w:t>
      </w:r>
      <w:r w:rsidRPr="00FA3BFA">
        <w:rPr>
          <w:rFonts w:cs="Times New Roman"/>
        </w:rPr>
        <w:t xml:space="preserve">more than anywhere else on </w:t>
      </w:r>
      <w:r w:rsidRPr="00FA3BFA">
        <w:rPr>
          <w:rFonts w:cs="Times New Roman"/>
        </w:rPr>
        <w:t xml:space="preserve">this </w:t>
      </w:r>
      <w:r w:rsidRPr="00FA3BFA">
        <w:rPr>
          <w:rFonts w:cs="Times New Roman"/>
        </w:rPr>
        <w:t xml:space="preserve">coast, which is why the </w:t>
      </w:r>
      <w:r w:rsidRPr="00FA3BFA">
        <w:rPr>
          <w:rFonts w:cs="Times New Roman"/>
        </w:rPr>
        <w:t xml:space="preserve">study </w:t>
      </w:r>
      <w:r w:rsidRPr="00FA3BFA">
        <w:rPr>
          <w:rFonts w:cs="Times New Roman"/>
        </w:rPr>
        <w:t xml:space="preserve">is set there. </w:t>
      </w:r>
      <w:r w:rsidRPr="00FA3BFA">
        <w:rPr>
          <w:rFonts w:cs="Times New Roman"/>
        </w:rPr>
        <w:t xml:space="preserve">Fisheries and Oceans Canada has surveyed and mapped herring spawn here for decades (Grinnell et al. 2023), and eBird contributors have recorded birds along the same coastline. eBird is a citizen science programme built around semi-structured checklists that retain information about where, when and how an observer watched (B. L. Sullivan et al. 2009; Kelling et al. 2019). Complete checklists and their effort information make repeated comparisons possible across places and years, provided that variation among observers and visits is carried into the analysis (Bird et al. 2014; Johnston et al. 2021).</w:t>
      </w:r>
    </w:p>
    <w:p w14:paraId="4867A912" w14:textId="3E54DA83" w:rsidR="00BF0BAC" w:rsidRPr="00FA3BFA" w:rsidRDefault="00000000">
      <w:commentRangeStart w:id="133"/>
      <w:commentRangeStart w:id="7"/>
      <w:pPr>
        <w:rPr>
          <w:rFonts w:cs="Times New Roman"/>
        </w:rPr>
      </w:pPr>
      <w:r w:rsidRPr="00FA3BFA">
        <w:rPr>
          <w:rFonts w:cs="Times New Roman"/>
        </w:rPr>
        <w:t xml:space="preserve">This study links the two records for 49 coastal bird species. It asks whether the difference between checklists within 5 km of a recorded spawning event and those 5 to 20 km away widened after the </w:t>
      </w:r>
      <w:r w:rsidRPr="00FA3BFA">
        <w:rPr>
          <w:rFonts w:cs="Times New Roman"/>
        </w:rPr>
        <w:t xml:space="preserve">event date, </w:t>
      </w:r>
      <w:r w:rsidRPr="00FA3BFA">
        <w:rPr>
          <w:rFonts w:cs="Times New Roman"/>
        </w:rPr>
        <w:t xml:space="preserve">compared with the preceding two weeks. Whether a species appeared on a checklist and how many birds were counted when an observer supplied a number are examined separately, because a species can become more widespread among checklists without forming larger recorded groups, or form larger groups without appearing on more </w:t>
      </w:r>
      <w:r w:rsidRPr="00FA3BFA">
        <w:rPr>
          <w:rFonts w:cs="Times New Roman"/>
        </w:rPr>
        <w:t xml:space="preserve">checklists.</w:t>
      </w:r>
      <w:commentRangeEnd w:id="7"/>
      <w:r w:rsidRPr="00FA3BFA">
        <w:rPr>
          <w:rFonts w:cs="Times New Roman"/>
        </w:rPr>
        <w:commentReference w:id="7"/>
      </w:r>
      <w:commentRangeEnd w:id="133"/>
      <w:r w:rsidRPr="00FA3BFA">
        <w:rPr>
          <w:rFonts w:cs="Times New Roman"/>
        </w:rPr>
        <w:commentReference w:id="133"/>
      </w:r>
    </w:p>
    <w:p w14:paraId="4BCDFE31" w14:textId="77777777" w:rsidR="00BF0BAC" w:rsidRPr="00FA3BFA" w:rsidRDefault="00000000">
      <w:pPr>
        <w:rPr>
          <w:rFonts w:cs="Times New Roman"/>
        </w:rPr>
      </w:pPr>
      <w:commentRangeStart w:id="135"/>
      <w:commentRangeStart w:id="9"/>
      <w:commentRangeEnd w:id="9"/>
      <w:r w:rsidRPr="00FA3BFA">
        <w:rPr>
          <w:rFonts w:cs="Times New Roman"/>
        </w:rPr>
        <w:commentReference w:id="9"/>
      </w:r>
      <w:commentRangeEnd w:id="135"/>
      <w:r w:rsidRPr="00FA3BFA">
        <w:rPr>
          <w:rFonts w:cs="Times New Roman"/>
        </w:rPr>
        <w:commentReference w:id="135"/>
      </w:r>
      <w:r w:rsidRPr="00FA3BFA">
        <w:rPr>
          <w:rFonts w:cs="Times New Roman"/>
        </w:rPr>
        <w:t xml:space="preserve">Species with established or plausible herring links were expected to be reported more often, counted in larger numbers, or both once spawning began, and the feeding groups were expected to differ in when they responded. Gulls and shoreline scavengers should respond near the event date, whereas diving ducks that feed on attached roe should respond once eggs are available, and alcids that feed away from the shoreline deposit were expected to show little response at all. Testing all 49 species places the well-studied birds inside a broader coastal community and identifies which species, and which time windows, would repay focused fieldwork. </w:t>
      </w:r>
      <w:del w:id="30001" w:author="Claude (editorial pass)" w:date="2026-07-26T00:00:00Z">
        <w:r w:rsidRPr="00FA3BFA">
          <w:rPr>
            <w:rFonts w:cs="Times New Roman"/>
          </w:rPr>
          <w:delText xml:space="preserve">That matters beyond the birds themselves. </w:delText>
        </w:r>
      </w:del>
      <w:r w:rsidRPr="00FA3BFA">
        <w:rPr>
          <w:rFonts w:cs="Times New Roman"/>
        </w:rPr>
        <w:t xml:space="preserve">Herring on this coast are managed from spawn surveys that were never designed to describe the predators a deposit supports, so a regional account of which species track spawning, and when, would give fisheries management and coastal bird conservation a shared description of what a spawning event is worth.</w:t>
      </w:r>
    </w:p>
    <w:p w14:paraId="389D71CC"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2 Methods</w:t>
      </w:r>
    </w:p>
    <w:p w14:paraId="0B236A5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2.1 Study Area</w:t>
      </w:r>
    </w:p>
    <w:p w14:paraId="68B34D2A" w14:textId="77777777" w:rsidR="00C15184" w:rsidRPr="00FA3BFA" w:rsidRDefault="00000000">
      <w:pPr>
        <w:rPr>
          <w:rFonts w:cs="Times New Roman"/>
        </w:rPr>
      </w:pPr>
      <w:r w:rsidRPr="00FA3BFA">
        <w:rPr>
          <w:rFonts w:cs="Times New Roman"/>
        </w:rPr>
        <w:t xml:space="preserve">Fieldwork and observation both concentrate in </w:t>
      </w:r>
      <w:r w:rsidRPr="00FA3BFA">
        <w:rPr>
          <w:rFonts w:cs="Times New Roman"/>
        </w:rPr>
        <w:t xml:space="preserve">the Strait of Georgia, British Columbia, Canada, a semi-enclosed coastal sea between Vancouver Island and the mainland. The region was chosen because it has the largest overlap between the long-running DFO spawn record and eBird checklist coverage.</w:t>
      </w:r>
    </w:p>
    <w:p w14:paraId="41A441FD" w14:textId="77777777" w:rsidR="00C15184" w:rsidRPr="00FA3BFA" w:rsidRDefault="00000000">
      <w:pPr>
        <w:rPr>
          <w:rFonts w:cs="Times New Roman"/>
        </w:rPr>
      </w:pPr>
      <w:r w:rsidRPr="00FA3BFA">
        <w:rPr>
          <w:rFonts w:cs="Times New Roman"/>
        </w:rPr>
        <w:t>[[AUTHOR INPUT REQUIRED: insert a study-area map showing the Strait of Georgia, recorded spawning areas, and verified seasonal timing of major coastal bird movements, including shorebirds.]]</w:t>
      </w:r>
    </w:p>
    <w:p w14:paraId="558458C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2.2 Data Sources</w:t>
      </w:r>
    </w:p>
    <w:p w14:paraId="514FC521" w14:textId="77777777" w:rsidR="00C15184" w:rsidRPr="00FA3BFA" w:rsidRDefault="00000000">
      <w:pPr>
        <w:pStyle w:val="Heading3"/>
        <w:rPr>
          <w:rFonts w:cs="Times New Roman"/>
        </w:rPr>
      </w:pPr>
      <w:r w:rsidRPr="00FA3BFA">
        <w:rPr>
          <w:rFonts w:cs="Times New Roman"/>
        </w:rPr>
        <w:t>2.2.1 eBird Data</w:t>
      </w:r>
    </w:p>
    <w:p w14:paraId="7C4A6B36" w14:textId="111ABAA6" w:rsidR="00C15184" w:rsidRPr="00FA3BFA" w:rsidDel="007E7E6A" w:rsidRDefault="00000000">
      <w:pPr>
        <w:rPr>
          <w:rFonts w:cs="Times New Roman"/>
        </w:rPr>
      </w:pPr>
      <w:r w:rsidRPr="00FA3BFA">
        <w:rPr>
          <w:rFonts w:cs="Times New Roman"/>
        </w:rPr>
        <w:t>eBird is a global citizen-science platform</w:t>
      </w:r>
      <w:r w:rsidRPr="00FA3BFA">
        <w:rPr>
          <w:rFonts w:cs="Times New Roman"/>
        </w:rPr>
        <w:t>. Volunteers submit checklists recording the birds they encountered, the number of individuals when they choose to count, and the location, date and effort of the visit (B. L. Sullivan et al. 2009). Standard protocols and recorded duration, distance and party size make these submissions a semi-structured survey (Kelling et al. 2019).</w:t>
      </w:r>
    </w:p>
    <w:p w14:paraId="4DFFE9DB" w14:textId="77777777" w:rsidR="00C15184" w:rsidRPr="00FA3BFA" w:rsidRDefault="00000000">
      <w:commentRangeStart w:id="136"/>
      <w:commentRangeStart w:id="11"/>
      <w:pPr>
        <w:rPr>
          <w:rFonts w:cs="Times New Roman"/>
        </w:rPr>
      </w:pPr>
      <w:r w:rsidRPr="00FA3BFA">
        <w:rPr>
          <w:rFonts w:cs="Times New Roman"/>
        </w:rPr>
        <w:t xml:space="preserve">Records came from the eBird Basic Dataset released in May 2026 and covered 2005 to 2025 (eBird 2026). Eligible checklists used stationary or travelling protocols, lasted 5 to 300 minutes, covered no more than 5 km, and had one to ten observers. Only complete checklists were </w:t>
      </w:r>
      <w:r w:rsidRPr="00FA3BFA">
        <w:rPr>
          <w:rFonts w:cs="Times New Roman"/>
        </w:rPr>
        <w:t xml:space="preserve">retained, </w:t>
      </w:r>
      <w:r w:rsidRPr="00FA3BFA">
        <w:rPr>
          <w:rFonts w:cs="Times New Roman"/>
        </w:rPr>
        <w:t xml:space="preserve">because </w:t>
      </w:r>
      <w:r w:rsidRPr="00FA3BFA">
        <w:rPr>
          <w:rFonts w:cs="Times New Roman"/>
        </w:rPr>
        <w:t xml:space="preserve">marking a checklist </w:t>
      </w:r>
      <w:r w:rsidRPr="00FA3BFA">
        <w:rPr>
          <w:rFonts w:cs="Times New Roman"/>
        </w:rPr>
        <w:t xml:space="preserve">complete </w:t>
      </w:r>
      <w:r w:rsidRPr="00FA3BFA">
        <w:rPr>
          <w:rFonts w:cs="Times New Roman"/>
        </w:rPr>
        <w:t xml:space="preserve">means the observer reported every species </w:t>
      </w:r>
      <w:r w:rsidRPr="00FA3BFA">
        <w:rPr>
          <w:rFonts w:cs="Times New Roman"/>
        </w:rPr>
        <w:t xml:space="preserve">they </w:t>
      </w:r>
      <w:r w:rsidRPr="00FA3BFA">
        <w:rPr>
          <w:rFonts w:cs="Times New Roman"/>
        </w:rPr>
        <w:t xml:space="preserve">detected and identified, </w:t>
      </w:r>
      <w:r w:rsidRPr="00FA3BFA">
        <w:rPr>
          <w:rFonts w:cs="Times New Roman"/>
        </w:rPr>
        <w:t xml:space="preserve">so a </w:t>
      </w:r>
      <w:r w:rsidRPr="00FA3BFA">
        <w:rPr>
          <w:rFonts w:cs="Times New Roman"/>
        </w:rPr>
        <w:t xml:space="preserve">species </w:t>
      </w:r>
      <w:r w:rsidRPr="00FA3BFA">
        <w:rPr>
          <w:rFonts w:cs="Times New Roman"/>
        </w:rPr>
        <w:t xml:space="preserve">that does not appear on one can </w:t>
      </w:r>
      <w:r w:rsidRPr="00FA3BFA">
        <w:rPr>
          <w:rFonts w:cs="Times New Roman"/>
        </w:rPr>
        <w:t xml:space="preserve">be treated as a </w:t>
      </w:r>
      <w:r w:rsidRPr="00FA3BFA">
        <w:rPr>
          <w:rFonts w:cs="Times New Roman"/>
        </w:rPr>
        <w:t xml:space="preserve">genuine non-detection rather than as missing information.</w:t>
      </w:r>
      <w:commentRangeEnd w:id="11"/>
      <w:r w:rsidRPr="00FA3BFA">
        <w:rPr>
          <w:rFonts w:cs="Times New Roman"/>
        </w:rPr>
        <w:commentReference w:id="11"/>
      </w:r>
      <w:commentRangeEnd w:id="136"/>
      <w:r w:rsidRPr="00FA3BFA">
        <w:rPr>
          <w:rFonts w:cs="Times New Roman"/>
        </w:rPr>
        <w:commentReference w:id="136"/>
      </w:r>
    </w:p>
    <w:p w14:paraId="6DBB5E7B" w14:textId="77777777" w:rsidR="00C15184" w:rsidRPr="00FA3BFA" w:rsidDel="00403A7E" w:rsidRDefault="00000000">
      <w:pPr>
        <w:pStyle w:val="Heading3"/>
        <w:rPr>
          <w:rFonts w:cs="Times New Roman"/>
        </w:rPr>
      </w:pPr>
      <w:r w:rsidRPr="00FA3BFA">
        <w:rPr>
          <w:rFonts w:cs="Times New Roman"/>
        </w:rPr>
        <w:t>2.2.2 Herring Data</w:t>
      </w:r>
    </w:p>
    <w:p w14:paraId="4824926A" w14:textId="77777777" w:rsidR="00C15184" w:rsidRPr="00FA3BFA" w:rsidRDefault="00000000">
      <w:commentRangeStart w:id="137"/>
      <w:commentRangeStart w:id="12"/>
      <w:pPr>
        <w:rPr>
          <w:rFonts w:cs="Times New Roman"/>
        </w:rPr>
      </w:pPr>
      <w:r w:rsidRPr="00FA3BFA">
        <w:rPr>
          <w:rFonts w:cs="Times New Roman"/>
        </w:rPr>
        <w:t xml:space="preserve">Herring records came from the Pacific Herring Spawn Index, compiled by Fisheries and Oceans Canada </w:t>
      </w:r>
      <w:r w:rsidRPr="00FA3BFA">
        <w:rPr>
          <w:rFonts w:cs="Times New Roman"/>
        </w:rPr>
        <w:t xml:space="preserve">(Fisheries and Oceans Canada 2026; Grinnell et al. 2023). </w:t>
      </w:r>
      <w:r w:rsidRPr="00FA3BFA">
        <w:rPr>
          <w:rFonts w:cs="Times New Roman"/>
        </w:rPr>
        <w:t xml:space="preserve">Surveyors work the coast through the spawning season and record where spawn has been deposited, using surface surveys that measure the length of shoreline spawned and the extent of eggs on vegetation, and dive surveys that additionally record egg layering and depth. </w:t>
      </w:r>
      <w:r w:rsidRPr="00FA3BFA">
        <w:rPr>
          <w:rFonts w:cs="Times New Roman"/>
        </w:rPr>
        <w:t xml:space="preserve">Each record </w:t>
      </w:r>
      <w:r w:rsidRPr="00FA3BFA">
        <w:rPr>
          <w:rFonts w:cs="Times New Roman"/>
        </w:rPr>
        <w:t xml:space="preserve">therefore carries </w:t>
      </w:r>
      <w:r w:rsidRPr="00FA3BFA">
        <w:rPr>
          <w:rFonts w:cs="Times New Roman"/>
        </w:rPr>
        <w:t xml:space="preserve">a </w:t>
      </w:r>
      <w:r w:rsidRPr="00FA3BFA">
        <w:rPr>
          <w:rFonts w:cs="Times New Roman"/>
        </w:rPr>
        <w:t xml:space="preserve">location </w:t>
      </w:r>
      <w:r w:rsidRPr="00FA3BFA">
        <w:rPr>
          <w:rFonts w:cs="Times New Roman"/>
        </w:rPr>
        <w:t xml:space="preserve">together with the dates over which spawn was observed at that place. </w:t>
      </w:r>
      <w:r w:rsidRPr="00FA3BFA">
        <w:rPr>
          <w:rFonts w:cs="Times New Roman"/>
        </w:rPr>
        <w:t xml:space="preserve">The </w:t>
      </w:r>
      <w:r w:rsidRPr="00FA3BFA">
        <w:rPr>
          <w:rFonts w:cs="Times New Roman"/>
        </w:rPr>
        <w:t xml:space="preserve">resulting </w:t>
      </w:r>
      <w:r w:rsidRPr="00FA3BFA">
        <w:rPr>
          <w:rFonts w:cs="Times New Roman"/>
        </w:rPr>
        <w:t xml:space="preserve">index is </w:t>
      </w:r>
      <w:r w:rsidRPr="00FA3BFA">
        <w:rPr>
          <w:rFonts w:cs="Times New Roman"/>
        </w:rPr>
        <w:t xml:space="preserve">relative rather than absolute, because </w:t>
      </w:r>
      <w:r w:rsidRPr="00FA3BFA">
        <w:rPr>
          <w:rFonts w:cs="Times New Roman"/>
        </w:rPr>
        <w:t xml:space="preserve">it describes </w:t>
      </w:r>
      <w:r w:rsidRPr="00FA3BFA">
        <w:rPr>
          <w:rFonts w:cs="Times New Roman"/>
        </w:rPr>
        <w:t xml:space="preserve">what surveyors found, and </w:t>
      </w:r>
      <w:r w:rsidRPr="00FA3BFA">
        <w:rPr>
          <w:rFonts w:cs="Times New Roman"/>
        </w:rPr>
        <w:t xml:space="preserve">coastline </w:t>
      </w:r>
      <w:r w:rsidRPr="00FA3BFA">
        <w:rPr>
          <w:rFonts w:cs="Times New Roman"/>
        </w:rPr>
        <w:t xml:space="preserve">that was not surveyed </w:t>
      </w:r>
      <w:r w:rsidRPr="00FA3BFA">
        <w:rPr>
          <w:rFonts w:cs="Times New Roman"/>
        </w:rPr>
        <w:t xml:space="preserve">yields no record </w:t>
      </w:r>
      <w:r w:rsidRPr="00FA3BFA">
        <w:rPr>
          <w:rFonts w:cs="Times New Roman"/>
        </w:rPr>
        <w:t xml:space="preserve">rather than </w:t>
      </w:r>
      <w:r w:rsidRPr="00FA3BFA">
        <w:rPr>
          <w:rFonts w:cs="Times New Roman"/>
        </w:rPr>
        <w:t xml:space="preserve">a zero. Only the presence, location and timing of a recorded event entered the </w:t>
      </w:r>
      <w:r w:rsidRPr="00FA3BFA">
        <w:rPr>
          <w:rFonts w:cs="Times New Roman"/>
        </w:rPr>
        <w:t xml:space="preserve">models.</w:t>
      </w:r>
      <w:commentRangeEnd w:id="12"/>
      <w:r w:rsidRPr="00FA3BFA">
        <w:rPr>
          <w:rFonts w:cs="Times New Roman"/>
        </w:rPr>
        <w:commentReference w:id="12"/>
      </w:r>
      <w:commentRangeEnd w:id="137"/>
      <w:r w:rsidRPr="00FA3BFA">
        <w:rPr>
          <w:rFonts w:cs="Times New Roman"/>
        </w:rPr>
        <w:commentReference w:id="137"/>
      </w:r>
    </w:p>
    <w:p w14:paraId="3E11BE8E" w14:textId="77777777" w:rsidR="00C15184" w:rsidRPr="00FA3BFA" w:rsidRDefault="00000000">
      <w:pPr>
        <w:pStyle w:val="Heading3"/>
        <w:rPr>
          <w:rFonts w:cs="Times New Roman"/>
        </w:rPr>
      </w:pPr>
      <w:r w:rsidRPr="00FA3BFA">
        <w:rPr>
          <w:rFonts w:cs="Times New Roman"/>
        </w:rPr>
        <w:t>2.2.3 Linking Bird and Herring Records</w:t>
      </w:r>
    </w:p>
    <w:p w14:paraId="49C82374" w14:textId="1E47ECB3" w:rsidR="00C15184" w:rsidRPr="00FA3BFA" w:rsidDel="00FA3BFA" w:rsidRDefault="00000000">
      <w:commentRangeStart w:id="138"/>
      <w:commentRangeStart w:id="16"/>
      <w:pPr>
        <w:rPr>
          <w:rFonts w:cs="Times New Roman"/>
        </w:rPr>
      </w:pPr>
      <w:r w:rsidRPr="00FA3BFA">
        <w:rPr>
          <w:rFonts w:cs="Times New Roman"/>
        </w:rPr>
        <w:t xml:space="preserve">Linking the two sources produced 217,200 complete eBird checklists and 1,120 recorded spawning </w:t>
      </w:r>
      <w:r w:rsidRPr="00FA3BFA">
        <w:rPr>
          <w:rFonts w:cs="Times New Roman"/>
        </w:rPr>
        <w:t xml:space="preserve">events, which fell into </w:t>
      </w:r>
      <w:r w:rsidRPr="00FA3BFA">
        <w:rPr>
          <w:rFonts w:cs="Times New Roman"/>
        </w:rPr>
        <w:t xml:space="preserve">58 event blocks, 29,248 observer clusters and 22,980 generalized location clusters. </w:t>
      </w:r>
      <w:r w:rsidRPr="00FA3BFA">
        <w:rPr>
          <w:rFonts w:cs="Times New Roman"/>
        </w:rPr>
        <w:t xml:space="preserve">An event block groups recorded spawning events that are connected because they link to the same checklists at the same time, which keeps those events and the checklists that reach them under a single random effect. Two events in the same block need not belong to one spawning population. A checklist linked to several events remained one row in the model and carried the random effect for its block. </w:t>
      </w:r>
      <w:commentRangeEnd w:id="16"/>
      <w:r w:rsidRPr="00FA3BFA">
        <w:rPr>
          <w:rFonts w:cs="Times New Roman"/>
        </w:rPr>
        <w:commentReference w:id="16"/>
      </w:r>
      <w:commentRangeEnd w:id="138"/>
      <w:r w:rsidRPr="00FA3BFA">
        <w:rPr>
          <w:rFonts w:cs="Times New Roman"/>
        </w:rPr>
        <w:commentReference w:id="138"/>
      </w:r>
    </w:p>
    <w:p w14:paraId="3FD60E40" w14:textId="77777777" w:rsidR="00C15184" w:rsidRPr="00FA3BFA" w:rsidRDefault="00000000">
      <w:commentRangeStart w:id="139"/>
      <w:commentRangeStart w:id="17"/>
      <w:pPr>
        <w:rPr>
          <w:rFonts w:cs="Times New Roman"/>
        </w:rPr>
      </w:pPr>
      <w:r w:rsidRPr="00FA3BFA">
        <w:rPr>
          <w:rFonts w:cs="Times New Roman"/>
        </w:rPr>
        <w:t xml:space="preserve">Day 0 was the midpoint between the </w:t>
      </w:r>
      <w:r w:rsidRPr="00FA3BFA">
        <w:rPr>
          <w:rFonts w:cs="Times New Roman"/>
        </w:rPr>
        <w:t xml:space="preserve">first </w:t>
      </w:r>
      <w:r w:rsidRPr="00FA3BFA">
        <w:rPr>
          <w:rFonts w:cs="Times New Roman"/>
        </w:rPr>
        <w:t xml:space="preserve">and </w:t>
      </w:r>
      <w:r w:rsidRPr="00FA3BFA">
        <w:rPr>
          <w:rFonts w:cs="Times New Roman"/>
        </w:rPr>
        <w:t xml:space="preserve">last dates on which spawn was recorded at a location, </w:t>
      </w:r>
      <w:r w:rsidRPr="00FA3BFA">
        <w:rPr>
          <w:rFonts w:cs="Times New Roman"/>
        </w:rPr>
        <w:t xml:space="preserve">rounded down to a whole </w:t>
      </w:r>
      <w:r w:rsidRPr="00FA3BFA">
        <w:rPr>
          <w:rFonts w:cs="Times New Roman"/>
        </w:rPr>
        <w:t xml:space="preserve">day, or that single date where </w:t>
      </w:r>
      <w:r w:rsidRPr="00FA3BFA">
        <w:rPr>
          <w:rFonts w:cs="Times New Roman"/>
        </w:rPr>
        <w:t xml:space="preserve">only one </w:t>
      </w:r>
      <w:r w:rsidRPr="00FA3BFA">
        <w:rPr>
          <w:rFonts w:cs="Times New Roman"/>
        </w:rPr>
        <w:t xml:space="preserve">was </w:t>
      </w:r>
      <w:r w:rsidRPr="00FA3BFA">
        <w:rPr>
          <w:rFonts w:cs="Times New Roman"/>
        </w:rPr>
        <w:t xml:space="preserve">available. </w:t>
      </w:r>
      <w:r w:rsidRPr="00FA3BFA">
        <w:rPr>
          <w:rFonts w:cs="Times New Roman"/>
        </w:rPr>
        <w:t xml:space="preserve">It is an event-date </w:t>
      </w:r>
      <w:r w:rsidRPr="00FA3BFA">
        <w:rPr>
          <w:rFonts w:cs="Times New Roman"/>
        </w:rPr>
        <w:t xml:space="preserve">anchor and </w:t>
      </w:r>
      <w:r w:rsidRPr="00FA3BFA">
        <w:rPr>
          <w:rFonts w:cs="Times New Roman"/>
        </w:rPr>
        <w:t xml:space="preserve">not an observed biological </w:t>
      </w:r>
      <w:r w:rsidRPr="00FA3BFA">
        <w:rPr>
          <w:rFonts w:cs="Times New Roman"/>
        </w:rPr>
        <w:t xml:space="preserve">onset, and it is dated more precisely for some events than for others: among the 1,144 events in </w:t>
      </w:r>
      <w:r w:rsidRPr="00FA3BFA">
        <w:rPr>
          <w:rFonts w:cs="Times New Roman"/>
        </w:rPr>
        <w:t xml:space="preserve">the wider </w:t>
      </w:r>
      <w:r w:rsidRPr="00FA3BFA">
        <w:rPr>
          <w:rFonts w:cs="Times New Roman"/>
        </w:rPr>
        <w:t xml:space="preserve">linked frame, </w:t>
      </w:r>
      <w:r w:rsidRPr="00FA3BFA">
        <w:rPr>
          <w:rFonts w:cs="Times New Roman"/>
        </w:rPr>
        <w:t xml:space="preserve">466 had </w:t>
      </w:r>
      <w:r w:rsidRPr="00FA3BFA">
        <w:rPr>
          <w:rFonts w:cs="Times New Roman"/>
        </w:rPr>
        <w:t xml:space="preserve">spawn recorded on a single day and </w:t>
      </w:r>
      <w:r w:rsidRPr="00FA3BFA">
        <w:rPr>
          <w:rFonts w:cs="Times New Roman"/>
        </w:rPr>
        <w:t xml:space="preserve">the median </w:t>
      </w:r>
      <w:r w:rsidRPr="00FA3BFA">
        <w:rPr>
          <w:rFonts w:cs="Times New Roman"/>
        </w:rPr>
        <w:t xml:space="preserve">span </w:t>
      </w:r>
      <w:r w:rsidRPr="00FA3BFA">
        <w:rPr>
          <w:rFonts w:cs="Times New Roman"/>
        </w:rPr>
        <w:t xml:space="preserve">between first and last date </w:t>
      </w:r>
      <w:r w:rsidRPr="00FA3BFA">
        <w:rPr>
          <w:rFonts w:cs="Times New Roman"/>
        </w:rPr>
        <w:t xml:space="preserve">was </w:t>
      </w:r>
      <w:r w:rsidRPr="00FA3BFA">
        <w:rPr>
          <w:rFonts w:cs="Times New Roman"/>
        </w:rPr>
        <w:t xml:space="preserve">one day. </w:t>
      </w:r>
      <w:r w:rsidRPr="00FA3BFA">
        <w:rPr>
          <w:rFonts w:cs="Times New Roman"/>
        </w:rPr>
        <w:t xml:space="preserve">Six periods were defined around </w:t>
      </w:r>
      <w:r w:rsidRPr="00FA3BFA">
        <w:rPr>
          <w:rFonts w:cs="Times New Roman"/>
        </w:rPr>
        <w:t xml:space="preserve">that anchor, and Table 1 gives their limits, their durations and </w:t>
      </w:r>
      <w:r w:rsidRPr="00FA3BFA">
        <w:rPr>
          <w:rFonts w:cs="Times New Roman"/>
        </w:rPr>
        <w:t xml:space="preserve">the </w:t>
      </w:r>
      <w:r w:rsidRPr="00FA3BFA">
        <w:rPr>
          <w:rFonts w:cs="Times New Roman"/>
        </w:rPr>
        <w:t xml:space="preserve">food expected </w:t>
      </w:r>
      <w:r w:rsidRPr="00FA3BFA">
        <w:rPr>
          <w:rFonts w:cs="Times New Roman"/>
        </w:rPr>
        <w:t xml:space="preserve">to </w:t>
      </w:r>
      <w:r w:rsidRPr="00FA3BFA">
        <w:rPr>
          <w:rFonts w:cs="Times New Roman"/>
        </w:rPr>
        <w:t xml:space="preserve">be available in each.</w:t>
      </w:r>
      <w:commentRangeEnd w:id="17"/>
      <w:r w:rsidRPr="00FA3BFA">
        <w:rPr>
          <w:rFonts w:cs="Times New Roman"/>
        </w:rPr>
        <w:commentReference w:id="17"/>
      </w:r>
      <w:commentRangeEnd w:id="139"/>
      <w:r w:rsidRPr="00FA3BFA">
        <w:rPr>
          <w:rFonts w:cs="Times New Roman"/>
        </w:rPr>
        <w:commentReference w:id="139"/>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8"/>
              </w:rPr>
              <w:t>Period</w:t>
            </w:r>
          </w:p>
        </w:tc>
        <w:tc>
          <w:tcPr>
            <w:tcW w:type="dxa" w:w="2340"/>
          </w:tcPr>
          <w:p>
            <w:r/>
            <w:r>
              <w:rPr>
                <w:b/>
                <w:sz w:val="18"/>
              </w:rPr>
              <w:t>Days from anchor</w:t>
            </w:r>
          </w:p>
        </w:tc>
        <w:tc>
          <w:tcPr>
            <w:tcW w:type="dxa" w:w="2340"/>
          </w:tcPr>
          <w:p>
            <w:r/>
            <w:r>
              <w:rPr>
                <w:b/>
                <w:sz w:val="18"/>
              </w:rPr>
              <w:t>Days</w:t>
            </w:r>
          </w:p>
        </w:tc>
        <w:tc>
          <w:tcPr>
            <w:tcW w:type="dxa" w:w="2340"/>
          </w:tcPr>
          <w:p>
            <w:r/>
            <w:r>
              <w:rPr>
                <w:b/>
                <w:sz w:val="18"/>
              </w:rPr>
              <w:t>Expected food</w:t>
            </w:r>
          </w:p>
        </w:tc>
      </w:tr>
      <w:tr>
        <w:tc>
          <w:tcPr>
            <w:tcW w:type="dxa" w:w="2340"/>
          </w:tcPr>
          <w:p>
            <w:r/>
            <w:r>
              <w:rPr>
                <w:b w:val="0"/>
                <w:sz w:val="18"/>
              </w:rPr>
              <w:t>Baseline</w:t>
            </w:r>
          </w:p>
        </w:tc>
        <w:tc>
          <w:tcPr>
            <w:tcW w:type="dxa" w:w="2340"/>
          </w:tcPr>
          <w:p>
            <w:r/>
            <w:r>
              <w:rPr>
                <w:b w:val="0"/>
                <w:sz w:val="18"/>
              </w:rPr>
              <w:t>−28 to −15</w:t>
            </w:r>
          </w:p>
        </w:tc>
        <w:tc>
          <w:tcPr>
            <w:tcW w:type="dxa" w:w="2340"/>
          </w:tcPr>
          <w:p>
            <w:r/>
            <w:r>
              <w:rPr>
                <w:b w:val="0"/>
                <w:sz w:val="18"/>
              </w:rPr>
              <w:t>14</w:t>
            </w:r>
          </w:p>
        </w:tc>
        <w:tc>
          <w:tcPr>
            <w:tcW w:type="dxa" w:w="2340"/>
          </w:tcPr>
          <w:p>
            <w:r/>
            <w:r>
              <w:rPr>
                <w:b w:val="0"/>
                <w:sz w:val="18"/>
              </w:rPr>
              <w:t>No spawn recorded</w:t>
            </w:r>
          </w:p>
        </w:tc>
      </w:tr>
      <w:tr>
        <w:tc>
          <w:tcPr>
            <w:tcW w:type="dxa" w:w="2340"/>
          </w:tcPr>
          <w:p>
            <w:r/>
            <w:r>
              <w:rPr>
                <w:b w:val="0"/>
                <w:sz w:val="18"/>
              </w:rPr>
              <w:t>Early pre-spawn</w:t>
            </w:r>
          </w:p>
        </w:tc>
        <w:tc>
          <w:tcPr>
            <w:tcW w:type="dxa" w:w="2340"/>
          </w:tcPr>
          <w:p>
            <w:r/>
            <w:r>
              <w:rPr>
                <w:b w:val="0"/>
                <w:sz w:val="18"/>
              </w:rPr>
              <w:t>−14 to −8</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Immediate pre-spawn</w:t>
            </w:r>
          </w:p>
        </w:tc>
        <w:tc>
          <w:tcPr>
            <w:tcW w:type="dxa" w:w="2340"/>
          </w:tcPr>
          <w:p>
            <w:r/>
            <w:r>
              <w:rPr>
                <w:b w:val="0"/>
                <w:sz w:val="18"/>
              </w:rPr>
              <w:t>−7 to −1</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Spawn</w:t>
            </w:r>
          </w:p>
        </w:tc>
        <w:tc>
          <w:tcPr>
            <w:tcW w:type="dxa" w:w="2340"/>
          </w:tcPr>
          <w:p>
            <w:r/>
            <w:r>
              <w:rPr>
                <w:b w:val="0"/>
                <w:sz w:val="18"/>
              </w:rPr>
              <w:t>0 to 3</w:t>
            </w:r>
          </w:p>
        </w:tc>
        <w:tc>
          <w:tcPr>
            <w:tcW w:type="dxa" w:w="2340"/>
          </w:tcPr>
          <w:p>
            <w:r/>
            <w:r>
              <w:rPr>
                <w:b w:val="0"/>
                <w:sz w:val="18"/>
              </w:rPr>
              <w:t>4</w:t>
            </w:r>
          </w:p>
        </w:tc>
        <w:tc>
          <w:tcPr>
            <w:tcW w:type="dxa" w:w="2340"/>
          </w:tcPr>
          <w:p>
            <w:r/>
            <w:r>
              <w:rPr>
                <w:b w:val="0"/>
                <w:sz w:val="18"/>
              </w:rPr>
              <w:t>Adults in the shallows; eggs being laid</w:t>
            </w:r>
          </w:p>
        </w:tc>
      </w:tr>
      <w:tr>
        <w:tc>
          <w:tcPr>
            <w:tcW w:type="dxa" w:w="2340"/>
          </w:tcPr>
          <w:p>
            <w:r/>
            <w:r>
              <w:rPr>
                <w:b w:val="0"/>
                <w:sz w:val="18"/>
              </w:rPr>
              <w:t>Early egg</w:t>
            </w:r>
          </w:p>
        </w:tc>
        <w:tc>
          <w:tcPr>
            <w:tcW w:type="dxa" w:w="2340"/>
          </w:tcPr>
          <w:p>
            <w:r/>
            <w:r>
              <w:rPr>
                <w:b w:val="0"/>
                <w:sz w:val="18"/>
              </w:rPr>
              <w:t>4 to 14</w:t>
            </w:r>
          </w:p>
        </w:tc>
        <w:tc>
          <w:tcPr>
            <w:tcW w:type="dxa" w:w="2340"/>
          </w:tcPr>
          <w:p>
            <w:r/>
            <w:r>
              <w:rPr>
                <w:b w:val="0"/>
                <w:sz w:val="18"/>
              </w:rPr>
              <w:t>11</w:t>
            </w:r>
          </w:p>
        </w:tc>
        <w:tc>
          <w:tcPr>
            <w:tcW w:type="dxa" w:w="2340"/>
          </w:tcPr>
          <w:p>
            <w:r/>
            <w:r>
              <w:rPr>
                <w:b w:val="0"/>
                <w:sz w:val="18"/>
              </w:rPr>
              <w:t>Eggs on vegetation and along the shore</w:t>
            </w:r>
          </w:p>
        </w:tc>
      </w:tr>
      <w:tr>
        <w:tc>
          <w:tcPr>
            <w:tcW w:type="dxa" w:w="2340"/>
          </w:tcPr>
          <w:p>
            <w:r/>
            <w:r>
              <w:rPr>
                <w:b w:val="0"/>
                <w:sz w:val="18"/>
              </w:rPr>
              <w:t>Late egg</w:t>
            </w:r>
          </w:p>
        </w:tc>
        <w:tc>
          <w:tcPr>
            <w:tcW w:type="dxa" w:w="2340"/>
          </w:tcPr>
          <w:p>
            <w:r/>
            <w:r>
              <w:rPr>
                <w:b w:val="0"/>
                <w:sz w:val="18"/>
              </w:rPr>
              <w:t>15 to 28</w:t>
            </w:r>
          </w:p>
        </w:tc>
        <w:tc>
          <w:tcPr>
            <w:tcW w:type="dxa" w:w="2340"/>
          </w:tcPr>
          <w:p>
            <w:r/>
            <w:r>
              <w:rPr>
                <w:b w:val="0"/>
                <w:sz w:val="18"/>
              </w:rPr>
              <w:t>14</w:t>
            </w:r>
          </w:p>
        </w:tc>
        <w:tc>
          <w:tcPr>
            <w:tcW w:type="dxa" w:w="2340"/>
          </w:tcPr>
          <w:p>
            <w:r/>
            <w:r>
              <w:rPr>
                <w:b w:val="0"/>
                <w:sz w:val="18"/>
              </w:rPr>
              <w:t>Eggs largely hatched or washed away</w:t>
            </w:r>
          </w:p>
        </w:tc>
      </w:tr>
    </w:tbl>
    <w:p>
      <w:r>
        <w:rPr>
          <w:sz w:val="18"/>
        </w:rPr>
        <w:t xml:space="preserve">Table 1. Periods defined relative to the recorded event date. The pre-spawn summary weights the two pre-spawn periods equally. The active summary weights the spawn and early egg periods by their durations, 4/15 and 11/15.</w:t>
      </w:r>
    </w:p>
    <w:p w14:paraId="11ED8DFC" w14:textId="77777777" w:rsidR="00C15184" w:rsidRPr="00FA3BFA" w:rsidRDefault="00000000">
      <w:pPr>
        <w:rPr>
          <w:rFonts w:cs="Times New Roman"/>
        </w:rPr>
      </w:pPr>
      <w:r w:rsidRPr="00FA3BFA">
        <w:rPr>
          <w:rFonts w:cs="Times New Roman"/>
        </w:rPr>
        <w:t xml:space="preserve">A checklist was near when it lay within 5 km of a recorded event and in the reference zone at 5 to 20 km. These bounds were set by judgement before fitting. The reference zone is not assumed to be </w:t>
      </w:r>
      <w:r w:rsidRPr="00FA3BFA">
        <w:rPr>
          <w:rFonts w:cs="Times New Roman"/>
        </w:rPr>
        <w:t xml:space="preserve">spawn-free.</w:t>
      </w:r>
    </w:p>
    <w:p w14:paraId="616CC321" w14:textId="77777777" w:rsidR="00C15184" w:rsidRPr="00FA3BFA" w:rsidRDefault="00000000">
      <w:pPr>
        <w:rPr>
          <w:rFonts w:cs="Times New Roman"/>
        </w:rPr>
      </w:pPr>
      <w:r w:rsidRPr="00FA3BFA">
        <w:rPr>
          <w:rFonts w:cs="Times New Roman"/>
        </w:rPr>
        <w:t>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were not mutually exclusive: 5,163 checklists, 5.5% of those with any exposure, contributed to both through different events. Variance inflation among the twelve exposure variables ranged from 1.22 to 1.26.</w:t>
      </w:r>
    </w:p>
    <w:p w14:paraId="2486A6E0" w14:textId="77777777" w:rsidR="00C15184" w:rsidRPr="00FA3BFA" w:rsidRDefault="00000000">
      <w:pPr>
        <w:rPr>
          <w:rFonts w:cs="Times New Roman"/>
        </w:rPr>
      </w:pPr>
      <w:r w:rsidRPr="00FA3BFA">
        <w:rPr>
          <w:rFonts w:cs="Times New Roman"/>
        </w:rPr>
        <w:t xml:space="preserve">The </w:t>
      </w:r>
      <w:r w:rsidRPr="00FA3BFA">
        <w:rPr>
          <w:rFonts w:cs="Times New Roman"/>
        </w:rPr>
        <w:t xml:space="preserve">models did not require every event or block to contain checklists in both zones. Of 1,120 events, 850 contributed links in both zones, as did 51 of 58 blocks. In total, 99.8% of exposed checklists were in a block represented in both zones, so most of the comparison was made within blocks.</w:t>
      </w:r>
    </w:p>
    <w:p w14:paraId="5CBCA9B4" w14:textId="77777777" w:rsidR="00C15184" w:rsidRPr="00FA3BFA" w:rsidRDefault="00000000">
      <w:pPr>
        <w:rPr>
          <w:rFonts w:cs="Times New Roman"/>
        </w:rPr>
      </w:pPr>
      <w:r w:rsidR="00FA3BFA" w:rsidRPr="00FA3BFA">
        <w:rPr>
          <w:rStyle w:val="CommentReference"/>
          <w:rFonts w:cs="Times New Roman"/>
          <w:sz w:val="22"/>
          <w:szCs w:val="24"/>
        </w:rPr>
        <w:t xml:space="preserve">Distances ran from the checklist point location to the event point, including for travelling checklists. About 12% of near-zone checklists travelled more than 2.5 km and about 3% more than 4 km. A route that crossed a zone boundary was still represented by one point, which blurs the zones. Because that blur does not depend on event timing, it is expected to weaken a localized response more often than create </w:t>
      </w:r>
      <w:r w:rsidR="00FA3BFA" w:rsidRPr="00FA3BFA">
        <w:rPr>
          <w:rStyle w:val="CommentReference"/>
          <w:rFonts w:cs="Times New Roman"/>
          <w:sz w:val="22"/>
          <w:szCs w:val="24"/>
        </w:rPr>
        <w:t xml:space="preserve">one.</w:t>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12D8F4B1" w14:textId="77777777" w:rsidR="00C15184" w:rsidRPr="00FA3BFA" w:rsidRDefault="00000000">
      <w:commentRangeStart w:id="134"/>
      <w:commentRangeStart w:id="8"/>
      <w:pPr>
        <w:rPr>
          <w:rFonts w:cs="Times New Roman"/>
        </w:rPr>
      </w:pPr>
      <w:r w:rsidRPr="00FA3BFA">
        <w:rPr>
          <w:rFonts w:cs="Times New Roman"/>
        </w:rPr>
        <w:t xml:space="preserve">Figure 1. The design in ecological terms. Complete eBird checklists were linked to recorded spawning events by distance and by date relative to the event-date anchor. Whether a species was reported and how many were counted were modelled separately. The main comparison asks whether the near-to-reference relationship during days 0 to 14 became stronger than during days −14 to −1. The days −28 to −15 baseline enters through the model and not through that comparison, in which its two terms </w:t>
      </w:r>
      <w:r w:rsidRPr="00FA3BFA">
        <w:rPr>
          <w:rFonts w:cs="Times New Roman"/>
        </w:rPr>
        <w:t xml:space="preserve">cancel.</w:t>
      </w:r>
      <w:commentRangeEnd w:id="8"/>
      <w:r w:rsidRPr="00FA3BFA">
        <w:rPr>
          <w:rFonts w:cs="Times New Roman"/>
        </w:rPr>
        <w:commentReference w:id="8"/>
      </w:r>
      <w:commentRangeEnd w:id="134"/>
      <w:r w:rsidRPr="00FA3BFA">
        <w:rPr>
          <w:rFonts w:cs="Times New Roman"/>
        </w:rPr>
        <w:commentReference w:id="134"/>
      </w:r>
    </w:p>
    <w:p w14:paraId="282FF7B4" w14:textId="77777777" w:rsidR="00BF0BAC" w:rsidRPr="00FA3BFA" w:rsidRDefault="00000000">
      <w:pPr>
        <w:pStyle w:val="Heading2"/>
        <w:rPr>
          <w:rFonts w:ascii="Times New Roman" w:hAnsi="Times New Roman" w:cs="Times New Roman"/>
        </w:rPr>
      </w:pPr>
      <w:r w:rsidRPr="00FA3BFA">
        <w:rPr>
          <w:rFonts w:ascii="Times New Roman" w:hAnsi="Times New Roman" w:cs="Times New Roman"/>
        </w:rPr>
        <w:t xml:space="preserve">2.3 </w:t>
      </w:r>
      <w:r w:rsidRPr="00FA3BFA">
        <w:rPr>
          <w:rFonts w:ascii="Times New Roman" w:hAnsi="Times New Roman" w:cs="Times New Roman"/>
        </w:rPr>
        <w:t xml:space="preserve">Response </w:t>
      </w:r>
      <w:r w:rsidRPr="00FA3BFA">
        <w:rPr>
          <w:rFonts w:ascii="Times New Roman" w:hAnsi="Times New Roman" w:cs="Times New Roman"/>
        </w:rPr>
        <w:t xml:space="preserve">Variables</w:t>
      </w:r>
    </w:p>
    <w:p w14:paraId="533E8038" w14:textId="55560550" w:rsidR="00BF0BAC" w:rsidRPr="00FA3BFA" w:rsidRDefault="00000000">
      <w:pPr>
        <w:rPr>
          <w:rFonts w:cs="Times New Roman"/>
        </w:rPr>
      </w:pPr>
      <w:r w:rsidRPr="00FA3BFA">
        <w:rPr>
          <w:rFonts w:cs="Times New Roman"/>
        </w:rPr>
        <w:t xml:space="preserve">Two outcomes represent different parts of the checklist record. Checklist reporting was one when a species was reported on an eligible complete checklist and zero when it was omitted under the fixed ambiguity </w:t>
      </w:r>
      <w:r w:rsidRPr="00FA3BFA">
        <w:rPr>
          <w:rFonts w:cs="Times New Roman"/>
        </w:rPr>
        <w:t xml:space="preserve">rules, and although an </w:t>
      </w:r>
      <w:r w:rsidRPr="00FA3BFA">
        <w:rPr>
          <w:rFonts w:cs="Times New Roman"/>
        </w:rPr>
        <w:t xml:space="preserve">omission </w:t>
      </w:r>
      <w:r w:rsidRPr="00FA3BFA">
        <w:rPr>
          <w:rFonts w:cs="Times New Roman"/>
        </w:rPr>
        <w:t xml:space="preserve">is informative about reporting </w:t>
      </w:r>
      <w:r w:rsidRPr="00FA3BFA">
        <w:rPr>
          <w:rFonts w:cs="Times New Roman"/>
        </w:rPr>
        <w:t xml:space="preserve">it </w:t>
      </w:r>
      <w:r w:rsidRPr="00FA3BFA">
        <w:rPr>
          <w:rFonts w:cs="Times New Roman"/>
        </w:rPr>
        <w:t xml:space="preserve">does not prove that the species was </w:t>
      </w:r>
      <w:r w:rsidRPr="00FA3BFA">
        <w:rPr>
          <w:rFonts w:cs="Times New Roman"/>
        </w:rPr>
        <w:t xml:space="preserve">absent. Every positive report kept its count state, so a finite number contributed to both outcomes while an unquantified X contributed only to whether the species was reported. Observers enter X when they know a bird is present but cannot or do not want to count it, most often when the number of individuals is large.</w:t>
      </w:r>
    </w:p>
    <w:p w14:paraId="1FC9B74B" w14:textId="5BCE315E" w:rsidR="00BF0BAC" w:rsidRPr="00FA3BFA" w:rsidRDefault="00000000">
      <w:pPr>
        <w:rPr>
          <w:rFonts w:cs="Times New Roman"/>
        </w:rPr>
      </w:pPr>
      <w:commentRangeStart w:id="141"/>
      <w:commentRangeStart w:id="25"/>
      <w:commentRangeEnd w:id="25"/>
      <w:r w:rsidRPr="00FA3BFA">
        <w:rPr>
          <w:rFonts w:cs="Times New Roman"/>
        </w:rPr>
        <w:commentReference w:id="25"/>
      </w:r>
      <w:commentRangeEnd w:id="141"/>
      <w:r w:rsidRPr="00FA3BFA">
        <w:rPr>
          <w:rFonts w:cs="Times New Roman"/>
        </w:rPr>
        <w:commentReference w:id="141"/>
      </w:r>
      <w:r w:rsidRPr="00FA3BFA">
        <w:rPr>
          <w:rFonts w:cs="Times New Roman"/>
        </w:rPr>
        <w:t xml:space="preserve">Reported number, the </w:t>
      </w:r>
      <w:r w:rsidRPr="00FA3BFA">
        <w:rPr>
          <w:rFonts w:cs="Times New Roman"/>
        </w:rPr>
        <w:t xml:space="preserve">second </w:t>
      </w:r>
      <w:r w:rsidRPr="00FA3BFA">
        <w:rPr>
          <w:rFonts w:cs="Times New Roman"/>
        </w:rPr>
        <w:t xml:space="preserve">outcome, entered </w:t>
      </w:r>
      <w:r w:rsidRPr="00FA3BFA">
        <w:rPr>
          <w:rFonts w:cs="Times New Roman"/>
        </w:rPr>
        <w:t xml:space="preserve">the </w:t>
      </w:r>
      <w:r w:rsidRPr="00FA3BFA">
        <w:rPr>
          <w:rFonts w:cs="Times New Roman"/>
        </w:rPr>
        <w:t xml:space="preserve">models as a </w:t>
      </w:r>
      <w:r w:rsidRPr="00FA3BFA">
        <w:rPr>
          <w:rFonts w:cs="Times New Roman"/>
        </w:rPr>
        <w:t xml:space="preserve">natural </w:t>
      </w:r>
      <w:r w:rsidRPr="00FA3BFA">
        <w:rPr>
          <w:rFonts w:cs="Times New Roman"/>
        </w:rPr>
        <w:t xml:space="preserve">logarithm. </w:t>
      </w:r>
      <w:r w:rsidRPr="00FA3BFA">
        <w:rPr>
          <w:rFonts w:cs="Times New Roman"/>
        </w:rPr>
        <w:t xml:space="preserve">Exponentiated estimates therefore compare geometric mean counts among those records. The two outcomes answer different questions. The first asks whether a species appeared on a checklist at all, whereas the second asks whether the number an observer supplied was larger, and a species can change on one without changing on the other. Because the count outcome is measured only among birds that were both reported and counted, however, it is conditioned on something the reporting models themselves show to be responsive, which is a selection problem and not only a difference of question. </w:t>
      </w:r>
    </w:p>
    <w:p w14:paraId="5702D7DD"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2.4 </w:t>
      </w:r>
      <w:r w:rsidRPr="00FA3BFA">
        <w:rPr>
          <w:rFonts w:ascii="Times New Roman" w:hAnsi="Times New Roman" w:cs="Times New Roman"/>
        </w:rPr>
        <w:t xml:space="preserve">Model Structure </w:t>
      </w:r>
      <w:r w:rsidRPr="00FA3BFA">
        <w:rPr>
          <w:rFonts w:ascii="Times New Roman" w:hAnsi="Times New Roman" w:cs="Times New Roman"/>
        </w:rPr>
        <w:t xml:space="preserve">and </w:t>
      </w:r>
      <w:r w:rsidRPr="00FA3BFA">
        <w:rPr>
          <w:rFonts w:ascii="Times New Roman" w:hAnsi="Times New Roman" w:cs="Times New Roman"/>
        </w:rPr>
        <w:t xml:space="preserve">the Difference-in-Differences Contrast</w:t>
      </w:r>
    </w:p>
    <w:p w14:paraId="23201620" w14:textId="77777777" w:rsidR="00C15184" w:rsidRPr="00FA3BFA" w:rsidRDefault="00000000">
      <w:pPr>
        <w:rPr>
          <w:rFonts w:cs="Times New Roman"/>
        </w:rPr>
      </w:pPr>
      <w:del w:id="30002" w:author="Claude (editorial pass)" w:date="2026-07-26T00:00:00Z">
        <w:r w:rsidRPr="00FA3BFA">
          <w:rPr>
            <w:rFonts w:cs="Times New Roman"/>
            <w:color w:val="000000"/>
          </w:rPr>
          <w:delText xml:space="preserve">The logic is easiest to see in terms of event links. </w:delText>
        </w:r>
      </w:del>
      <w:r w:rsidRPr="00FA3BFA">
        <w:rPr>
          <w:rFonts w:cs="Times New Roman"/>
          <w:color w:val="000000"/>
        </w:rPr>
        <w:t xml:space="preserve">For checklist (i), the model for each species was</w:t>
      </w:r>
    </w:p>
    <w:p w14:paraId="20FD7F20" w14:textId="77777777" w:rsidR="00C15184" w:rsidRPr="00FA3BFA"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3802BCA0" w14:textId="77777777" w:rsidR="00C15184" w:rsidRPr="00FA3BFA" w:rsidRDefault="00000000">
      <w:pPr>
        <w:rPr>
          <w:rFonts w:cs="Times New Roman"/>
        </w:rPr>
      </w:pPr>
      <w:r w:rsidRPr="00FA3BFA">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A3BFA">
        <w:rPr>
          <w:rFonts w:cs="Times New Roman"/>
          <w:color w:val="000000"/>
        </w:rPr>
        <w:t xml:space="preserve"> is checklist reporting or log reported count; </w:t>
      </w:r>
      <m:oMath>
        <m:r>
          <w:rPr>
            <w:rFonts w:ascii="Cambria Math" w:hAnsi="Cambria Math" w:cs="Times New Roman"/>
          </w:rPr>
          <m:t>g</m:t>
        </m:r>
      </m:oMath>
      <w:r w:rsidRPr="00FA3BFA">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number of recorded source-event links for checklist </w:t>
      </w:r>
      <m:oMath>
        <m:r>
          <w:rPr>
            <w:rFonts w:ascii="Cambria Math" w:hAnsi="Cambria Math" w:cs="Times New Roman"/>
          </w:rPr>
          <m:t>i</m:t>
        </m:r>
      </m:oMath>
      <w:r w:rsidRPr="00FA3BFA">
        <w:rPr>
          <w:rFonts w:cs="Times New Roman"/>
          <w:color w:val="000000"/>
        </w:rPr>
        <w:t xml:space="preserve"> in period </w:t>
      </w:r>
      <m:oMath>
        <m:r>
          <w:rPr>
            <w:rFonts w:ascii="Cambria Math" w:hAnsi="Cambria Math" w:cs="Times New Roman"/>
          </w:rPr>
          <m:t>p</m:t>
        </m:r>
      </m:oMath>
      <w:r w:rsidRPr="00FA3BFA">
        <w:rPr>
          <w:rFonts w:cs="Times New Roman"/>
          <w:color w:val="000000"/>
        </w:rPr>
        <w:t xml:space="preserve"> and zone </w:t>
      </w:r>
      <m:oMath>
        <m:r>
          <w:rPr>
            <w:rFonts w:ascii="Cambria Math" w:hAnsi="Cambria Math" w:cs="Times New Roman"/>
          </w:rPr>
          <m:t>z</m:t>
        </m:r>
      </m:oMath>
      <w:r w:rsidRPr="00FA3BFA">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A3BFA">
        <w:rPr>
          <w:rFonts w:cs="Times New Roman"/>
          <w:color w:val="000000"/>
        </w:rPr>
        <w:t xml:space="preserve"> contains the adjustment variables; and the three </w:t>
      </w:r>
      <m:oMath>
        <m:r>
          <w:rPr>
            <w:rFonts w:ascii="Cambria Math" w:hAnsi="Cambria Math" w:cs="Times New Roman"/>
          </w:rPr>
          <m:t>u</m:t>
        </m:r>
      </m:oMath>
      <w:r w:rsidRPr="00FA3BFA">
        <w:rPr>
          <w:rFonts w:cs="Times New Roman"/>
          <w:color w:val="000000"/>
        </w:rPr>
        <w:t xml:space="preserve"> terms are random intercepts for event block, observer cluster, and generalized location cluster.</w:t>
      </w:r>
    </w:p>
    <w:p w14:paraId="5C0B2356" w14:textId="77777777" w:rsidR="00C15184" w:rsidRPr="00FA3BFA" w:rsidRDefault="00000000">
      <w:pPr>
        <w:rPr>
          <w:rFonts w:cs="Times New Roman"/>
        </w:rPr>
      </w:pPr>
      <w:r w:rsidRPr="00FA3BFA">
        <w:rPr>
          <w:rFonts w:cs="Times New Roman"/>
          <w:color w:val="000000"/>
        </w:rPr>
        <w:t>For a period (p), the reported baseline-adjusted near/reference contrast was</w:t>
      </w:r>
    </w:p>
    <w:p w14:paraId="32577295" w14:textId="77777777" w:rsidR="00C15184" w:rsidRPr="00FA3BFA"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5FD39DE3" w14:textId="77777777" w:rsidR="00C15184" w:rsidRPr="00FA3BFA" w:rsidRDefault="00000000">
      <w:pPr>
        <w:rPr>
          <w:rFonts w:cs="Times New Roman"/>
        </w:rPr>
      </w:pPr>
      <w:r w:rsidRPr="00FA3BFA">
        <w:rPr>
          <w:rFonts w:cs="Times New Roman"/>
          <w:color w:val="000000"/>
        </w:rPr>
        <w:t xml:space="preserve">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w:t>
      </w:r>
      <w:r w:rsidRPr="00FA3BFA">
        <w:rPr>
          <w:rFonts w:cs="Times New Roman"/>
          <w:color w:val="000000"/>
        </w:rPr>
        <w:t xml:space="preserve">a percentage change in the number of birds present.</w:t>
      </w:r>
    </w:p>
    <w:p w14:paraId="545CEC8C" w14:textId="31937221" w:rsidR="00C15184" w:rsidRPr="00FA3BFA" w:rsidRDefault="00000000">
      <w:commentRangeStart w:id="143"/>
      <w:commentRangeStart w:id="28"/>
      <w:pPr>
        <w:rPr>
          <w:rFonts w:cs="Times New Roman"/>
        </w:rPr>
      </w:pPr>
      <w:r w:rsidR="006E4209" w:rsidRPr="00FA3BFA">
        <w:rPr>
          <w:rStyle w:val="CommentReference"/>
          <w:rFonts w:cs="Times New Roman"/>
          <w:color w:val="000000"/>
          <w:sz w:val="22"/>
          <w:szCs w:val="24"/>
        </w:rPr>
        <w:t xml:space="preserve">Because the comparison is a difference of differences in event time, it rests on an assumption that cannot be verified directly, though 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w:t>
      </w:r>
      <w:r w:rsidR="006E4209" w:rsidRPr="00FA3BFA">
        <w:rPr>
          <w:rStyle w:val="CommentReference"/>
          <w:rFonts w:cs="Times New Roman"/>
          <w:color w:val="000000"/>
          <w:sz w:val="22"/>
          <w:szCs w:val="24"/>
        </w:rPr>
        <w:t xml:space="preserve">Section 3.7 reports a partial check using the two pre-onset windows.</w:t>
      </w:r>
      <w:commentRangeEnd w:id="28"/>
      <w:r w:rsidR="006E4209" w:rsidRPr="00FA3BFA">
        <w:rPr>
          <w:rStyle w:val="CommentReference"/>
          <w:rFonts w:cs="Times New Roman"/>
          <w:color w:val="000000"/>
          <w:sz w:val="22"/>
          <w:szCs w:val="24"/>
        </w:rPr>
        <w:commentReference w:id="28"/>
      </w:r>
      <w:commentRangeEnd w:id="143"/>
      <w:r w:rsidR="006E4209" w:rsidRPr="00FA3BFA">
        <w:rPr>
          <w:rStyle w:val="CommentReference"/>
          <w:rFonts w:cs="Times New Roman"/>
          <w:color w:val="000000"/>
          <w:sz w:val="22"/>
          <w:szCs w:val="24"/>
        </w:rPr>
        <w:commentReference w:id="143"/>
      </w:r>
    </w:p>
    <w:p w14:paraId="0BEBA3F5" w14:textId="77777777" w:rsidR="00C15184" w:rsidRPr="00FA3BFA" w:rsidRDefault="00000000">
      <w:commentRangeStart w:id="144"/>
      <w:commentRangeStart w:id="29"/>
      <w:pPr>
        <w:rPr>
          <w:rFonts w:cs="Times New Roman"/>
        </w:rPr>
      </w:pPr>
      <w:r w:rsidRPr="00FA3BFA">
        <w:rPr>
          <w:rFonts w:cs="Times New Roman"/>
          <w:color w:val="000000"/>
        </w:rPr>
        <w:t xml:space="preserve">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 so </w:t>
      </w:r>
      <w:r w:rsidRPr="00FA3BFA">
        <w:rPr>
          <w:rFonts w:cs="Times New Roman"/>
          <w:color w:val="000000"/>
        </w:rPr>
        <w:t xml:space="preserve">both the </w:t>
      </w:r>
      <w:r w:rsidRPr="00FA3BFA">
        <w:rPr>
          <w:rFonts w:cs="Times New Roman"/>
          <w:color w:val="000000"/>
        </w:rPr>
        <w:t xml:space="preserve">estimates and </w:t>
      </w:r>
      <w:r w:rsidRPr="00FA3BFA">
        <w:rPr>
          <w:rFonts w:cs="Times New Roman"/>
          <w:color w:val="000000"/>
        </w:rPr>
        <w:t xml:space="preserve">their </w:t>
      </w:r>
      <w:r w:rsidRPr="00FA3BFA">
        <w:rPr>
          <w:rFonts w:cs="Times New Roman"/>
          <w:color w:val="000000"/>
        </w:rPr>
        <w:t xml:space="preserve">intervals </w:t>
      </w:r>
      <w:r w:rsidRPr="00FA3BFA">
        <w:rPr>
          <w:rFonts w:cs="Times New Roman"/>
          <w:color w:val="000000"/>
        </w:rPr>
        <w:t xml:space="preserve">inherit that </w:t>
      </w:r>
      <w:r w:rsidRPr="00FA3BFA">
        <w:rPr>
          <w:rFonts w:cs="Times New Roman"/>
          <w:color w:val="000000"/>
        </w:rPr>
        <w:t xml:space="preserve">approximation.</w:t>
      </w:r>
      <w:commentRangeEnd w:id="29"/>
      <w:r w:rsidRPr="00FA3BFA">
        <w:rPr>
          <w:rFonts w:cs="Times New Roman"/>
          <w:color w:val="000000"/>
        </w:rPr>
        <w:commentReference w:id="29"/>
      </w:r>
      <w:commentRangeEnd w:id="144"/>
      <w:r w:rsidRPr="00FA3BFA">
        <w:rPr>
          <w:rFonts w:cs="Times New Roman"/>
          <w:color w:val="000000"/>
        </w:rPr>
        <w:commentReference w:id="144"/>
      </w:r>
    </w:p>
    <w:p w14:paraId="69FDB376" w14:textId="0BCBC22A" w:rsidR="00C15184" w:rsidRPr="00FA3BFA" w:rsidRDefault="00000000">
      <w:commentRangeStart w:id="145"/>
      <w:commentRangeStart w:id="31"/>
      <w:pPr>
        <w:rPr>
          <w:rFonts w:cs="Times New Roman"/>
        </w:rPr>
      </w:pPr>
      <w:r w:rsidRPr="00FA3BFA">
        <w:rPr>
          <w:rFonts w:cs="Times New Roman"/>
          <w:color w:val="000000"/>
        </w:rPr>
        <w:t xml:space="preserve">Models adjusted for year as a factor, protocol, log duration, log of one plus distance travelled, and number of observers, and carried random intercepts for event block, observer and location. Day of year and time of day were not </w:t>
      </w:r>
      <w:r w:rsidRPr="00FA3BFA">
        <w:rPr>
          <w:rFonts w:cs="Times New Roman"/>
          <w:color w:val="000000"/>
        </w:rPr>
        <w:t xml:space="preserve">available in </w:t>
      </w:r>
      <w:r w:rsidRPr="00FA3BFA">
        <w:rPr>
          <w:rFonts w:cs="Times New Roman"/>
          <w:color w:val="000000"/>
        </w:rPr>
        <w:t xml:space="preserve">the </w:t>
      </w:r>
      <w:r w:rsidRPr="00FA3BFA">
        <w:rPr>
          <w:rFonts w:cs="Times New Roman"/>
          <w:color w:val="000000"/>
        </w:rPr>
        <w:t xml:space="preserve">linked dataset, </w:t>
      </w:r>
      <w:r w:rsidRPr="00FA3BFA">
        <w:rPr>
          <w:rFonts w:cs="Times New Roman"/>
          <w:color w:val="000000"/>
        </w:rPr>
        <w:t xml:space="preserve">so </w:t>
      </w:r>
      <w:r w:rsidRPr="00FA3BFA">
        <w:rPr>
          <w:rFonts w:cs="Times New Roman"/>
          <w:color w:val="000000"/>
        </w:rPr>
        <w:t xml:space="preserve">neither </w:t>
      </w:r>
      <w:r w:rsidRPr="00FA3BFA">
        <w:rPr>
          <w:rFonts w:cs="Times New Roman"/>
          <w:color w:val="000000"/>
        </w:rPr>
        <w:t xml:space="preserve">could </w:t>
      </w:r>
      <w:r w:rsidRPr="00FA3BFA">
        <w:rPr>
          <w:rFonts w:cs="Times New Roman"/>
          <w:color w:val="000000"/>
        </w:rPr>
        <w:t xml:space="preserve">be adjusted for. </w:t>
      </w:r>
      <w:r w:rsidRPr="00FA3BFA">
        <w:rPr>
          <w:rFonts w:cs="Times New Roman"/>
          <w:color w:val="000000"/>
        </w:rPr>
        <w:t xml:space="preserve">The three effort terms carry their own </w:t>
      </w:r>
      <w:r w:rsidRPr="00FA3BFA">
        <w:rPr>
          <w:rFonts w:cs="Times New Roman"/>
          <w:color w:val="000000"/>
        </w:rPr>
        <w:t xml:space="preserve">caution, because duration, </w:t>
      </w:r>
      <w:r w:rsidRPr="00FA3BFA">
        <w:rPr>
          <w:rFonts w:cs="Times New Roman"/>
          <w:color w:val="000000"/>
        </w:rPr>
        <w:t xml:space="preserve">distance and observer count are measured on the same checklist as the outcome, and a conspicuous flock may itself lengthen a visit, extend a route or draw a second observer, in which case adjusting for them removes part of the response. Their distributions barely move across </w:t>
      </w:r>
      <w:r w:rsidRPr="00FA3BFA">
        <w:rPr>
          <w:rFonts w:cs="Times New Roman"/>
          <w:color w:val="000000"/>
        </w:rPr>
        <w:t xml:space="preserve">the event date, however: </w:t>
      </w:r>
      <w:r w:rsidRPr="00FA3BFA">
        <w:rPr>
          <w:rFonts w:cs="Times New Roman"/>
          <w:color w:val="000000"/>
        </w:rPr>
        <w:t xml:space="preserve">median near-zone duration rises by one minute and median near-zone distance by 0.04 km between the two windows, with slightly larger shifts in the reference zone. That is reassuring without being decisive, </w:t>
      </w:r>
      <w:r w:rsidRPr="00FA3BFA">
        <w:rPr>
          <w:rFonts w:cs="Times New Roman"/>
          <w:color w:val="000000"/>
        </w:rPr>
        <w:t xml:space="preserve">since </w:t>
      </w:r>
      <w:r w:rsidRPr="00FA3BFA">
        <w:rPr>
          <w:rFonts w:cs="Times New Roman"/>
          <w:color w:val="000000"/>
        </w:rPr>
        <w:t xml:space="preserve">a covariate can respond to exposure without its marginal distribution shifting.</w:t>
      </w:r>
      <w:commentRangeEnd w:id="31"/>
      <w:r w:rsidRPr="00FA3BFA">
        <w:rPr>
          <w:rFonts w:cs="Times New Roman"/>
          <w:color w:val="000000"/>
        </w:rPr>
        <w:commentReference w:id="31"/>
      </w:r>
      <w:commentRangeEnd w:id="145"/>
      <w:r w:rsidRPr="00FA3BFA">
        <w:rPr>
          <w:rFonts w:cs="Times New Roman"/>
          <w:color w:val="000000"/>
        </w:rPr>
        <w:commentReference w:id="145"/>
      </w:r>
    </w:p>
    <w:p w14:paraId="44DA9E51" w14:textId="77777777" w:rsidR="00C15184" w:rsidRPr="00FA3BFA" w:rsidRDefault="00000000">
      <w:pPr>
        <w:rPr>
          <w:rFonts w:cs="Times New Roman"/>
        </w:rPr>
      </w:pPr>
      <w:r w:rsidRPr="00FA3BFA">
        <w:rPr>
          <w:rFonts w:cs="Times New Roman"/>
          <w:color w:val="000000"/>
        </w:rPr>
        <w:t xml:space="preserve">All </w:t>
      </w:r>
      <w:r w:rsidRPr="00FA3BFA">
        <w:rPr>
          <w:rFonts w:cs="Times New Roman"/>
          <w:color w:val="000000"/>
        </w:rPr>
        <w:t xml:space="preserve">49 species </w:t>
      </w:r>
      <w:r w:rsidRPr="00FA3BFA">
        <w:rPr>
          <w:rFonts w:cs="Times New Roman"/>
          <w:color w:val="000000"/>
        </w:rPr>
        <w:t xml:space="preserve">were </w:t>
      </w:r>
      <w:r w:rsidRPr="00FA3BFA">
        <w:rPr>
          <w:rFonts w:cs="Times New Roman"/>
          <w:color w:val="000000"/>
        </w:rPr>
        <w:t xml:space="preserve">fixed </w:t>
      </w:r>
      <w:r w:rsidRPr="00FA3BFA">
        <w:rPr>
          <w:rFonts w:cs="Times New Roman"/>
          <w:color w:val="000000"/>
        </w:rPr>
        <w:t xml:space="preserve">as a family </w:t>
      </w:r>
      <w:r w:rsidRPr="00FA3BFA">
        <w:rPr>
          <w:rFonts w:cs="Times New Roman"/>
          <w:color w:val="000000"/>
        </w:rPr>
        <w:t xml:space="preserve">before any event-link model was run. Both outcomes were fitted for every species wherever the data supported them. Species with fewer records have wider intervals and, in four cases, a model that would not estimate. All 49 stayed in the family, and the failures are reported as failures instead of being removed or read as ecological zeros.</w:t>
      </w:r>
    </w:p>
    <w:p w14:paraId="11F86B3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2.5 </w:t>
      </w:r>
      <w:r w:rsidRPr="00FA3BFA">
        <w:rPr>
          <w:rFonts w:ascii="Times New Roman" w:hAnsi="Times New Roman" w:cs="Times New Roman"/>
        </w:rPr>
        <w:t xml:space="preserve">Multiple Testing and </w:t>
      </w:r>
      <w:r w:rsidRPr="00FA3BFA">
        <w:rPr>
          <w:rFonts w:ascii="Times New Roman" w:hAnsi="Times New Roman" w:cs="Times New Roman"/>
        </w:rPr>
        <w:t xml:space="preserve">Sensitivity </w:t>
      </w:r>
      <w:r w:rsidRPr="00FA3BFA">
        <w:rPr>
          <w:rFonts w:ascii="Times New Roman" w:hAnsi="Times New Roman" w:cs="Times New Roman"/>
        </w:rPr>
        <w:t xml:space="preserve">Analyses</w:t>
      </w:r>
    </w:p>
    <w:p w14:paraId="0235ABAC" w14:textId="77777777" w:rsidR="00C15184" w:rsidRPr="00FA3BFA" w:rsidRDefault="00000000">
      <w:pPr>
        <w:rPr>
          <w:rFonts w:cs="Times New Roman"/>
        </w:rPr>
      </w:pPr>
      <w:r w:rsidRPr="00FA3BFA">
        <w:rPr>
          <w:rFonts w:cs="Times New Roman"/>
          <w:color w:val="000000"/>
        </w:rPr>
        <w:t>For each period and outcome, Benjamini and Hochberg (1995) correction was applied across all 49 species, so every adjusted p-value below belongs to that set. The main test compares the duration-weighted days 0 to 14 estimate directly against the mean estimate for days −14 to −1, using the full fixed-effect covariance matrix, so it is not a naive difference of two independent ratios. The two baseline terms enter with equal and opposite weight, so they cancel exactly and the baseline period acts through the model and not through the comparison. Models for whether a record carried a number instead of an X formed a separate exploratory set.</w:t>
      </w:r>
    </w:p>
    <w:p w14:paraId="600789AC" w14:textId="77777777" w:rsidR="00C15184" w:rsidRPr="00FA3BFA" w:rsidRDefault="00000000">
      <w:pPr>
        <w:rPr>
          <w:rFonts w:cs="Times New Roman"/>
        </w:rPr>
      </w:pPr>
      <w:r>
        <w:rPr>
          <w:b w:val="0"/>
        </w:rPr>
        <w:t xml:space="preserve">Gadwall </w:t>
      </w:r>
      <w:r>
        <w:rPr>
          <w:b w:val="0"/>
        </w:rPr>
        <w:t xml:space="preserve">(</w:t>
      </w:r>
      <w:r>
        <w:rPr>
          <w:b w:val="0"/>
          <w:i/>
        </w:rPr>
        <w:t xml:space="preserve">Mareca strepera</w:t>
      </w:r>
      <w:r>
        <w:rPr>
          <w:b w:val="0"/>
        </w:rPr>
        <w:t xml:space="preserve">) </w:t>
      </w:r>
      <w:r>
        <w:rPr>
          <w:b w:val="0"/>
        </w:rPr>
        <w:t xml:space="preserve">and Northern Shoveler </w:t>
      </w:r>
      <w:r>
        <w:rPr>
          <w:b w:val="0"/>
        </w:rPr>
        <w:t xml:space="preserve">(</w:t>
      </w:r>
      <w:r>
        <w:rPr>
          <w:b w:val="0"/>
          <w:i/>
        </w:rPr>
        <w:t xml:space="preserve">Spatula clypeata</w:t>
      </w:r>
      <w:r>
        <w:rPr>
          <w:b w:val="0"/>
        </w:rPr>
        <w:t xml:space="preserve">) </w:t>
      </w:r>
      <w:r>
        <w:rPr>
          <w:b w:val="0"/>
        </w:rPr>
        <w:t xml:space="preserve">were carried as comparators in a separate two-species exploratory analysis, so their correction threshold differs from that of the 49 and clearing it is not by itself evidence of specificity. Their adjusted p-values also refer to the comparison against baseline and not to the main before-and-after comparison used for the 49. Released counts below 20 are suppressed, and no figure quoted in this article falls under that threshold.</w:t>
      </w:r>
    </w:p>
    <w:p w14:paraId="1C39816D" w14:textId="77777777" w:rsidR="00C15184" w:rsidRPr="00FA3BFA" w:rsidRDefault="00000000">
      <w:pPr>
        <w:rPr>
          <w:rFonts w:cs="Times New Roman"/>
        </w:rPr>
      </w:pPr>
      <w:r w:rsidRPr="00FA3BFA">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6526F954" w14:textId="77777777" w:rsidR="00C15184" w:rsidRPr="00FA3BFA" w:rsidRDefault="00000000">
      <w:pPr>
        <w:rPr>
          <w:rFonts w:cs="Times New Roman"/>
        </w:rPr>
      </w:pPr>
      <w:r w:rsidRPr="00FA3BFA">
        <w:rPr>
          <w:rFonts w:cs="Times New Roman"/>
          <w:color w:val="000000"/>
        </w:rPr>
        <w:t>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p>
    <w:p w14:paraId="2337F757" w14:textId="77777777" w:rsidR="00BF0BAC" w:rsidRPr="00FA3BFA" w:rsidRDefault="00000000">
      <w:pPr>
        <w:rPr>
          <w:rFonts w:cs="Times New Roman"/>
        </w:rPr>
      </w:pPr>
      <w:r>
        <w:rPr>
          <w:b w:val="0"/>
        </w:rPr>
        <w:t xml:space="preserve">To test whether the 5 km near-zone boundary concealed a shorter-range pattern, Bald Eagle and Glaucous-winged Gull </w:t>
      </w:r>
      <w:r>
        <w:rPr>
          <w:b w:val="0"/>
        </w:rPr>
        <w:t xml:space="preserve">(</w:t>
      </w:r>
      <w:r>
        <w:rPr>
          <w:b w:val="0"/>
          <w:i/>
        </w:rPr>
        <w:t xml:space="preserve">Larus glaucescens</w:t>
      </w:r>
      <w:r>
        <w:rPr>
          <w:b w:val="0"/>
        </w:rPr>
        <w:t xml:space="preserve">) </w:t>
      </w:r>
      <w:r>
        <w:rPr>
          <w:b w:val="0"/>
        </w:rPr>
        <w:t xml:space="preserve">were examined in thirteen 2 km bands from 0 to 26 km, with American Robin </w:t>
      </w:r>
      <w:r>
        <w:rPr>
          <w:b w:val="0"/>
        </w:rPr>
        <w:t xml:space="preserve">(</w:t>
      </w:r>
      <w:r>
        <w:rPr>
          <w:b w:val="0"/>
          <w:i/>
        </w:rPr>
        <w:t xml:space="preserve">Turdus migratorius</w:t>
      </w:r>
      <w:r>
        <w:rPr>
          <w:b w:val="0"/>
        </w:rPr>
        <w:t xml:space="preserve">) </w:t>
      </w:r>
      <w:r>
        <w:rPr>
          <w:b w:val="0"/>
        </w:rPr>
        <w:t xml:space="preserve">as a terrestrial control. Each band was compared with its own days −28 to −15 baseline. Separate comparisons tested days 0 to 3 against days −7 to −1, and a 13-coefficient test compared the full days 0 to 3 profile with the two equally weighted pre-spawn windows. Benjamini-Hochberg correction was applied within each species, outcome and period across the 13 bands. These diagnostic sets remained separate from the fixed 49-species family.</w:t>
      </w:r>
    </w:p>
    <w:p w14:paraId="351886B1"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2.6 Reproducibility and Data Access</w:t>
      </w:r>
    </w:p>
    <w:p w14:paraId="08F41616" w14:textId="77777777" w:rsidR="00C15184" w:rsidRPr="00FA3BFA" w:rsidRDefault="00000000">
      <w:pPr>
        <w:rPr>
          <w:rFonts w:cs="Times New Roman"/>
        </w:rPr>
      </w:pPr>
      <w:r w:rsidRPr="00FA3BFA">
        <w:rPr>
          <w:rFonts w:cs="Times New Roman"/>
          <w:color w:val="000000"/>
        </w:rPr>
        <w:t>Code and privacy-safe aggregate results are available in the associated repository, where the earlier analysis and the present post-result refinement are retained as distinct records. Record-level eBird data, identifying fields and exact coordinates are not redistributed. Per-species estimates for the full 49-species family, both outcomes, together with support counts, fit status and the supporting distributions are given in the supplementary material, so the design, the main contrast, the complete results and the interpretive limits can be followed from the article and its supplement without consulting the repository.</w:t>
      </w:r>
    </w:p>
    <w:p w14:paraId="16FFFF0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3 Results</w:t>
      </w:r>
    </w:p>
    <w:p w14:paraId="75E8138C"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3.1 </w:t>
      </w:r>
      <w:r w:rsidRPr="00FA3BFA">
        <w:rPr>
          <w:rFonts w:ascii="Times New Roman" w:hAnsi="Times New Roman" w:cs="Times New Roman"/>
        </w:rPr>
        <w:t xml:space="preserve">Coverage and Model </w:t>
      </w:r>
      <w:r w:rsidRPr="00FA3BFA">
        <w:rPr>
          <w:rFonts w:ascii="Times New Roman" w:hAnsi="Times New Roman" w:cs="Times New Roman"/>
        </w:rPr>
        <w:t xml:space="preserve">Convergence</w:t>
      </w:r>
    </w:p>
    <w:p w14:paraId="6342D7CB" w14:textId="77777777" w:rsidR="00C15184" w:rsidRPr="00FA3BFA" w:rsidRDefault="00000000">
      <w:pPr>
        <w:rPr>
          <w:rFonts w:cs="Times New Roman"/>
        </w:rPr>
      </w:pPr>
      <w:r>
        <w:rPr>
          <w:b w:val="0"/>
        </w:rPr>
        <w:t xml:space="preserve">In total, </w:t>
      </w:r>
      <w:r>
        <w:rPr>
          <w:b w:val="0"/>
        </w:rPr>
        <w:t xml:space="preserve">217,200 complete eBird checklists collected between 2005 and </w:t>
      </w:r>
      <w:r>
        <w:rPr>
          <w:b w:val="0"/>
        </w:rPr>
        <w:t xml:space="preserve">2025 entered the analysis, </w:t>
      </w:r>
      <w:r>
        <w:rPr>
          <w:b w:val="0"/>
        </w:rPr>
        <w:t xml:space="preserve">linked to 1,120 recorded spawning events that formed 58 blocks. How much evidence stands behind each species varies enormously, since American Crow (</w:t>
      </w:r>
      <w:r>
        <w:rPr>
          <w:b w:val="0"/>
          <w:i/>
        </w:rPr>
        <w:t xml:space="preserve">Corvus brachyrhynchos</w:t>
      </w:r>
      <w:r>
        <w:rPr>
          <w:b w:val="0"/>
        </w:rPr>
        <w:t xml:space="preserve">) appeared on 53.5% of checklists and carried 112,180 counted records, whereas Glaucous Gull (</w:t>
      </w:r>
      <w:r>
        <w:rPr>
          <w:b w:val="0"/>
          <w:i/>
        </w:rPr>
        <w:t xml:space="preserve">L. hyperboreus</w:t>
      </w:r>
      <w:r>
        <w:rPr>
          <w:b w:val="0"/>
        </w:rPr>
        <w:t xml:space="preserve">) appeared on 0.09% and carried 185.</w:t>
      </w:r>
    </w:p>
    <w:p w14:paraId="165D835B" w14:textId="77777777" w:rsidR="00C15184" w:rsidRPr="00FA3BFA" w:rsidRDefault="00000000">
      <w:pPr>
        <w:rPr>
          <w:rFonts w:cs="Times New Roman"/>
        </w:rPr>
      </w:pPr>
      <w:r>
        <w:rPr>
          <w:b w:val="0"/>
        </w:rPr>
        <w:t>Of 100 models across 49 species, two outcomes and two comparators, 96 fitted. Whether a species was reported could be estimated for 48 of the 49, and how many were counted for 46. The four failures were both models for Glaucous Gull, a scarce visitor with 185 counted records, and the count models for Surfbird (</w:t>
      </w:r>
      <w:r>
        <w:rPr>
          <w:b w:val="0"/>
          <w:i/>
        </w:rPr>
        <w:t xml:space="preserve">Calidris virgata</w:t>
      </w:r>
      <w:r>
        <w:rPr>
          <w:b w:val="0"/>
        </w:rPr>
        <w:t>) and Rhinoceros Auklet (</w:t>
      </w:r>
      <w:r>
        <w:rPr>
          <w:b w:val="0"/>
          <w:i/>
        </w:rPr>
        <w:t xml:space="preserve">Cerorhinca monocerata</w:t>
      </w:r>
      <w:r>
        <w:rPr>
          <w:b w:val="0"/>
        </w:rPr>
        <w:t>), with 1,063 and 1,816. One further count model, Western Gull (</w:t>
      </w:r>
      <w:r>
        <w:rPr>
          <w:b w:val="0"/>
          <w:i/>
        </w:rPr>
        <w:t xml:space="preserve">L. occidentalis</w:t>
      </w:r>
      <w:r>
        <w:rPr>
          <w:b w:val="0"/>
        </w:rPr>
        <w:t>), converged to a singular fit and is retained; it is not among the significant results. All four failures fall among the least frequently counted birds in the family and are reported as failures, not as null results. Per-species estimates, intervals, adjusted p-values, sample sizes and fit status for all 49 species and both outcomes are in the supplementary material.</w:t>
      </w:r>
    </w:p>
    <w:p w14:paraId="1C84F02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3.2 </w:t>
      </w:r>
      <w:r w:rsidRPr="00FA3BFA">
        <w:rPr>
          <w:rFonts w:ascii="Times New Roman" w:hAnsi="Times New Roman" w:cs="Times New Roman"/>
        </w:rPr>
        <w:t xml:space="preserve">Responses </w:t>
      </w:r>
      <w:r w:rsidRPr="00FA3BFA">
        <w:rPr>
          <w:rFonts w:ascii="Times New Roman" w:hAnsi="Times New Roman" w:cs="Times New Roman"/>
        </w:rPr>
        <w:t xml:space="preserve">During the Active Spawning Period</w:t>
      </w:r>
    </w:p>
    <w:p w14:paraId="32FE0DEB" w14:textId="77777777" w:rsidR="00C15184" w:rsidRPr="00FA3BFA" w:rsidRDefault="00000000">
      <w:pPr>
        <w:rPr>
          <w:rFonts w:cs="Times New Roman"/>
        </w:rPr>
      </w:pPr>
      <w:r w:rsidRPr="00FA3BFA">
        <w:rPr>
          <w:rFonts w:cs="Times New Roman"/>
          <w:color w:val="000000"/>
        </w:rPr>
        <w:t xml:space="preserve">Birds were counted in larger numbers far more consistently than they were reported more often (Figure 2). Reporting rose for 28 of 48 species and fell for 20, </w:t>
      </w:r>
      <w:r w:rsidRPr="00FA3BFA">
        <w:rPr>
          <w:rFonts w:cs="Times New Roman"/>
          <w:color w:val="000000"/>
        </w:rPr>
        <w:t xml:space="preserve">of which </w:t>
      </w:r>
      <w:r w:rsidRPr="00FA3BFA">
        <w:rPr>
          <w:rFonts w:cs="Times New Roman"/>
          <w:color w:val="000000"/>
        </w:rPr>
        <w:t xml:space="preserve">13 </w:t>
      </w:r>
      <w:r w:rsidRPr="00FA3BFA">
        <w:rPr>
          <w:rFonts w:cs="Times New Roman"/>
          <w:color w:val="000000"/>
        </w:rPr>
        <w:t xml:space="preserve">increases survived correction for multiple </w:t>
      </w:r>
      <w:r w:rsidRPr="00FA3BFA">
        <w:rPr>
          <w:rFonts w:cs="Times New Roman"/>
          <w:color w:val="000000"/>
        </w:rPr>
        <w:t xml:space="preserve">testing, whereas counts </w:t>
      </w:r>
      <w:r w:rsidRPr="00FA3BFA">
        <w:rPr>
          <w:rFonts w:cs="Times New Roman"/>
          <w:color w:val="000000"/>
        </w:rPr>
        <w:t xml:space="preserve">rose for 42 of 46 species and fell for four, </w:t>
      </w:r>
      <w:r w:rsidRPr="00FA3BFA">
        <w:rPr>
          <w:rFonts w:cs="Times New Roman"/>
          <w:color w:val="000000"/>
        </w:rPr>
        <w:t xml:space="preserve">with </w:t>
      </w:r>
      <w:r w:rsidRPr="00FA3BFA">
        <w:rPr>
          <w:rFonts w:cs="Times New Roman"/>
          <w:color w:val="000000"/>
        </w:rPr>
        <w:t xml:space="preserve">18 increases </w:t>
      </w:r>
      <w:r w:rsidRPr="00FA3BFA">
        <w:rPr>
          <w:rFonts w:cs="Times New Roman"/>
          <w:color w:val="000000"/>
        </w:rPr>
        <w:t xml:space="preserve">surviving, and no </w:t>
      </w:r>
      <w:r w:rsidRPr="00FA3BFA">
        <w:rPr>
          <w:rFonts w:cs="Times New Roman"/>
          <w:color w:val="000000"/>
        </w:rPr>
        <w:t xml:space="preserve">decrease survived in either outcome. The gap between the two outcomes is wider than those tallies </w:t>
      </w:r>
      <w:r w:rsidRPr="00FA3BFA">
        <w:rPr>
          <w:rFonts w:cs="Times New Roman"/>
          <w:color w:val="000000"/>
        </w:rPr>
        <w:t xml:space="preserve">suggest, because among </w:t>
      </w:r>
      <w:r w:rsidRPr="00FA3BFA">
        <w:rPr>
          <w:rFonts w:cs="Times New Roman"/>
          <w:color w:val="000000"/>
        </w:rPr>
        <w:t xml:space="preserve">the 46 species with both </w:t>
      </w:r>
      <w:r w:rsidRPr="00FA3BFA">
        <w:rPr>
          <w:rFonts w:cs="Times New Roman"/>
          <w:color w:val="000000"/>
        </w:rPr>
        <w:t xml:space="preserve">models </w:t>
      </w:r>
      <w:r w:rsidRPr="00FA3BFA">
        <w:rPr>
          <w:rFonts w:cs="Times New Roman"/>
          <w:color w:val="000000"/>
        </w:rPr>
        <w:t xml:space="preserve">27 rose in both, 15 rose only in counts, four rose in neither, and none rose only in </w:t>
      </w:r>
      <w:r w:rsidRPr="00FA3BFA">
        <w:rPr>
          <w:rFonts w:cs="Times New Roman"/>
          <w:color w:val="000000"/>
        </w:rPr>
        <w:t xml:space="preserve">reporting, so every </w:t>
      </w:r>
      <w:r w:rsidRPr="00FA3BFA">
        <w:rPr>
          <w:rFonts w:cs="Times New Roman"/>
          <w:color w:val="000000"/>
        </w:rPr>
        <w:t xml:space="preserve">species that disagreed with itself disagreed </w:t>
      </w:r>
      <w:r w:rsidRPr="00FA3BFA">
        <w:rPr>
          <w:rFonts w:cs="Times New Roman"/>
          <w:color w:val="000000"/>
        </w:rPr>
        <w:t xml:space="preserve">in </w:t>
      </w:r>
      <w:r w:rsidRPr="00FA3BFA">
        <w:rPr>
          <w:rFonts w:cs="Times New Roman"/>
          <w:color w:val="000000"/>
        </w:rPr>
        <w:t xml:space="preserve">the same </w:t>
      </w:r>
      <w:r w:rsidRPr="00FA3BFA">
        <w:rPr>
          <w:rFonts w:cs="Times New Roman"/>
          <w:color w:val="000000"/>
        </w:rPr>
        <w:t xml:space="preserve">direction. </w:t>
      </w:r>
      <w:r w:rsidRPr="00FA3BFA">
        <w:rPr>
          <w:rFonts w:cs="Times New Roman"/>
          <w:color w:val="000000"/>
        </w:rPr>
        <w:t xml:space="preserve">An exact paired test on those 15 gives p = 0.00006, </w:t>
      </w:r>
      <w:r w:rsidRPr="00FA3BFA">
        <w:rPr>
          <w:rFonts w:cs="Times New Roman"/>
          <w:color w:val="000000"/>
        </w:rPr>
        <w:t xml:space="preserve">although </w:t>
      </w:r>
      <w:r w:rsidRPr="00FA3BFA">
        <w:rPr>
          <w:rFonts w:cs="Times New Roman"/>
          <w:color w:val="000000"/>
        </w:rPr>
        <w:t xml:space="preserve">species share checklists, events and observers, so </w:t>
      </w:r>
      <w:r w:rsidRPr="00FA3BFA">
        <w:rPr>
          <w:rFonts w:cs="Times New Roman"/>
          <w:color w:val="000000"/>
        </w:rPr>
        <w:t xml:space="preserve">the figure </w:t>
      </w:r>
      <w:r w:rsidRPr="00FA3BFA">
        <w:rPr>
          <w:rFonts w:cs="Times New Roman"/>
          <w:color w:val="000000"/>
        </w:rPr>
        <w:t xml:space="preserve">describes how lopsided the pattern is more than it tests it.</w:t>
      </w:r>
    </w:p>
    <w:p w14:paraId="5768AC9D" w14:textId="77777777" w:rsidR="00C15184" w:rsidRPr="00FA3BFA" w:rsidRDefault="00000000">
      <w:pPr>
        <w:rPr>
          <w:rFonts w:cs="Times New Roman"/>
        </w:rPr>
      </w:pPr>
      <w:r>
        <w:rPr>
          <w:b w:val="0"/>
        </w:rPr>
        <w:t xml:space="preserve">Gulls dominated the reporting </w:t>
      </w:r>
      <w:r>
        <w:rPr>
          <w:b w:val="0"/>
        </w:rPr>
        <w:t xml:space="preserve">results, with </w:t>
      </w:r>
      <w:r>
        <w:rPr>
          <w:b w:val="0"/>
        </w:rPr>
        <w:t xml:space="preserve">Bonaparte's Gull (</w:t>
      </w:r>
      <w:r>
        <w:rPr>
          <w:b w:val="0"/>
          <w:i/>
        </w:rPr>
        <w:t xml:space="preserve">Chroicocephalus philadelphia</w:t>
      </w:r>
      <w:r>
        <w:rPr>
          <w:b w:val="0"/>
        </w:rPr>
        <w:t xml:space="preserve">) </w:t>
      </w:r>
      <w:r>
        <w:rPr>
          <w:b w:val="0"/>
        </w:rPr>
        <w:t xml:space="preserve">reported 1.48 times as often per nearby spawn (95% CI 1.22–1.79), American Herring Gull (</w:t>
      </w:r>
      <w:r>
        <w:rPr>
          <w:b w:val="0"/>
          <w:i/>
        </w:rPr>
        <w:t xml:space="preserve">L. smithsonianus</w:t>
      </w:r>
      <w:r>
        <w:rPr>
          <w:b w:val="0"/>
        </w:rPr>
        <w:t xml:space="preserve">) 1.39 (1.23–1.57), California Gull (</w:t>
      </w:r>
      <w:r>
        <w:rPr>
          <w:b w:val="0"/>
          <w:i/>
        </w:rPr>
        <w:t xml:space="preserve">L. californicus</w:t>
      </w:r>
      <w:r>
        <w:rPr>
          <w:b w:val="0"/>
        </w:rPr>
        <w:t xml:space="preserve">) 1.32 (1.21–1.43), Iceland Gull (</w:t>
      </w:r>
      <w:r>
        <w:rPr>
          <w:b w:val="0"/>
          <w:i/>
        </w:rPr>
        <w:t xml:space="preserve">L. glaucoides</w:t>
      </w:r>
      <w:r>
        <w:rPr>
          <w:b w:val="0"/>
        </w:rPr>
        <w:t xml:space="preserve">) 1.29 (1.18–1.41) and Short-billed Gull (</w:t>
      </w:r>
      <w:r>
        <w:rPr>
          <w:b w:val="0"/>
          <w:i/>
        </w:rPr>
        <w:t xml:space="preserve">L. brachyrhynchus</w:t>
      </w:r>
      <w:r>
        <w:rPr>
          <w:b w:val="0"/>
        </w:rPr>
        <w:t xml:space="preserve">) 1.25 (1.17–1.34). These are not 48% or 39% increases in the number of gulls on the </w:t>
      </w:r>
      <w:r>
        <w:rPr>
          <w:b w:val="0"/>
        </w:rPr>
        <w:t xml:space="preserve">coast, since each </w:t>
      </w:r>
      <w:r>
        <w:rPr>
          <w:b w:val="0"/>
        </w:rPr>
        <w:t xml:space="preserve">describes how much more strongly a checklist's reporting of that species tracked a nearby spawning event after </w:t>
      </w:r>
      <w:r>
        <w:rPr>
          <w:b w:val="0"/>
        </w:rPr>
        <w:t xml:space="preserve">the event date </w:t>
      </w:r>
      <w:r>
        <w:rPr>
          <w:b w:val="0"/>
        </w:rPr>
        <w:t xml:space="preserve">than before it. Outside the gulls the largest reporting increases came from Lesser Scaup (</w:t>
      </w:r>
      <w:r>
        <w:rPr>
          <w:b w:val="0"/>
          <w:i/>
        </w:rPr>
        <w:t xml:space="preserve">Aythya affinis</w:t>
      </w:r>
      <w:r>
        <w:rPr>
          <w:b w:val="0"/>
        </w:rPr>
        <w:t xml:space="preserve">) at 1.26 (1.11–1.44) and Northern Pintail (</w:t>
      </w:r>
      <w:r>
        <w:rPr>
          <w:b w:val="0"/>
          <w:i/>
        </w:rPr>
        <w:t xml:space="preserve">Anas acuta</w:t>
      </w:r>
      <w:r>
        <w:rPr>
          <w:b w:val="0"/>
        </w:rPr>
        <w:t xml:space="preserve">) at 1.21 (1.10–1.32), neither </w:t>
      </w:r>
      <w:r>
        <w:rPr>
          <w:b w:val="0"/>
        </w:rPr>
        <w:t xml:space="preserve">of which is </w:t>
      </w:r>
      <w:r>
        <w:rPr>
          <w:b w:val="0"/>
        </w:rPr>
        <w:t xml:space="preserve">a bird the herring literature would nominate first.</w:t>
      </w:r>
    </w:p>
    <w:p w14:paraId="65B2DE5F" w14:textId="77777777" w:rsidR="00C15184" w:rsidRPr="00FA3BFA" w:rsidRDefault="00000000">
      <w:pPr>
        <w:rPr>
          <w:rFonts w:cs="Times New Roman"/>
        </w:rPr>
      </w:pPr>
      <w:r>
        <w:rPr>
          <w:b w:val="0"/>
        </w:rPr>
        <w:t xml:space="preserve">The largest count increases were Long-tailed Duck (</w:t>
      </w:r>
      <w:r>
        <w:rPr>
          <w:b w:val="0"/>
          <w:i/>
        </w:rPr>
        <w:t xml:space="preserve">Clangula hyemalis</w:t>
      </w:r>
      <w:r>
        <w:rPr>
          <w:b w:val="0"/>
        </w:rPr>
        <w:t xml:space="preserve">) at 1.43 (1.29–1.60), Surf Scoter at 1.30 (1.21–1.40), Short-billed Gull at 1.30 (1.23–1.37), Harlequin Duck at 1.20 (1.15–1.26) and Common Goldeneye (</w:t>
      </w:r>
      <w:r>
        <w:rPr>
          <w:b w:val="0"/>
          <w:i/>
        </w:rPr>
        <w:t xml:space="preserve">Bucephala clangula</w:t>
      </w:r>
      <w:r>
        <w:rPr>
          <w:b w:val="0"/>
        </w:rPr>
        <w:t xml:space="preserve">) at 1.20 </w:t>
      </w:r>
      <w:r>
        <w:rPr>
          <w:b w:val="0"/>
        </w:rPr>
        <w:t xml:space="preserve">(1.15–1.25), although increases </w:t>
      </w:r>
      <w:r>
        <w:rPr>
          <w:b w:val="0"/>
        </w:rPr>
        <w:t xml:space="preserve">were far more widespread than </w:t>
      </w:r>
      <w:r>
        <w:rPr>
          <w:b w:val="0"/>
        </w:rPr>
        <w:t xml:space="preserve">that </w:t>
      </w:r>
      <w:r>
        <w:rPr>
          <w:b w:val="0"/>
        </w:rPr>
        <w:t xml:space="preserve">significant subset conveys. Of 46 species, only Common Murre (</w:t>
      </w:r>
      <w:r>
        <w:rPr>
          <w:b w:val="0"/>
          <w:i/>
        </w:rPr>
        <w:t xml:space="preserve">Uria aalge</w:t>
      </w:r>
      <w:r>
        <w:rPr>
          <w:b w:val="0"/>
        </w:rPr>
        <w:t xml:space="preserve">), Black-bellied Plover (</w:t>
      </w:r>
      <w:r>
        <w:rPr>
          <w:b w:val="0"/>
          <w:i/>
        </w:rPr>
        <w:t xml:space="preserve">Pluvialis squatarola</w:t>
      </w:r>
      <w:r>
        <w:rPr>
          <w:b w:val="0"/>
        </w:rPr>
        <w:t xml:space="preserve">), Black Oystercatcher (</w:t>
      </w:r>
      <w:r>
        <w:rPr>
          <w:b w:val="0"/>
          <w:i/>
        </w:rPr>
        <w:t xml:space="preserve">Haematopus bachmani</w:t>
      </w:r>
      <w:r>
        <w:rPr>
          <w:b w:val="0"/>
        </w:rPr>
        <w:t xml:space="preserve">) and Great Blue Heron (</w:t>
      </w:r>
      <w:r>
        <w:rPr>
          <w:b w:val="0"/>
          <w:i/>
        </w:rPr>
        <w:t xml:space="preserve">Ardea herodias</w:t>
      </w:r>
      <w:r>
        <w:rPr>
          <w:b w:val="0"/>
        </w:rPr>
        <w:t xml:space="preserve">) were counted in smaller numbers at all, and none of those four significantly. </w:t>
      </w:r>
      <w:r>
        <w:rPr>
          <w:b w:val="0"/>
        </w:rPr>
        <w:t xml:space="preserve">Precision tracks how often a species is counted rather than how large its estimate is. </w:t>
      </w:r>
      <w:r>
        <w:rPr>
          <w:b w:val="0"/>
        </w:rPr>
        <w:t xml:space="preserve">Bald </w:t>
      </w:r>
      <w:r>
        <w:rPr>
          <w:b w:val="0"/>
        </w:rPr>
        <w:t xml:space="preserve">Eagle's </w:t>
      </w:r>
      <w:r>
        <w:rPr>
          <w:b w:val="0"/>
        </w:rPr>
        <w:t xml:space="preserve">count increase of 1.063 (1.045–1.080) is modest </w:t>
      </w:r>
      <w:r>
        <w:rPr>
          <w:b w:val="0"/>
        </w:rPr>
        <w:t xml:space="preserve">in size </w:t>
      </w:r>
      <w:r>
        <w:rPr>
          <w:b w:val="0"/>
        </w:rPr>
        <w:t xml:space="preserve">and among the most precise in the family, resting on 83,359 counted records, </w:t>
      </w:r>
      <w:r>
        <w:rPr>
          <w:b w:val="0"/>
        </w:rPr>
        <w:t xml:space="preserve">whereas </w:t>
      </w:r>
      <w:r>
        <w:rPr>
          <w:b w:val="0"/>
        </w:rPr>
        <w:t xml:space="preserve">Bonaparte's Gull's count increase of 1.16 spans 0.87 to 1.56 on 4,025.</w:t>
      </w:r>
    </w:p>
    <w:p w14:paraId="1A09CC77" w14:textId="77777777" w:rsidR="00C15184" w:rsidRPr="00FA3BFA" w:rsidRDefault="00000000">
      <w:pPr>
        <w:keepNext/>
        <w:rPr>
          <w:rFonts w:cs="Times New Roman"/>
        </w:rPr>
      </w:pPr>
      <w:r w:rsidRPr="00FA3BFA">
        <w:rPr>
          <w:rFonts w:cs="Times New Roman"/>
          <w:noProof/>
          <w:color w:val="000000"/>
        </w:rPr>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04F59E91" w14:textId="77777777" w:rsidR="00C15184" w:rsidRPr="00FA3BFA" w:rsidRDefault="00000000">
      <w:pPr>
        <w:rPr>
          <w:rFonts w:cs="Times New Roman"/>
        </w:rPr>
      </w:pPr>
      <w:r w:rsidRPr="00FA3BFA">
        <w:rPr>
          <w:rFonts w:cs="Times New Roman"/>
          <w:color w:val="000000"/>
        </w:rPr>
        <w:t xml:space="preserve">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w:t>
      </w:r>
      <w:r w:rsidRPr="00FA3BFA">
        <w:rPr>
          <w:rFonts w:cs="Times New Roman"/>
          <w:color w:val="000000"/>
        </w:rPr>
        <w:t xml:space="preserve">nearby. </w:t>
      </w:r>
      <w:r w:rsidRPr="00FA3BFA">
        <w:rPr>
          <w:rFonts w:cs="Times New Roman"/>
          <w:color w:val="000000"/>
        </w:rPr>
        <w:t xml:space="preserve">Figure 3 uses a different reference point, plotting each period against the days −28 to −15 baseline.</w:t>
      </w:r>
    </w:p>
    <w:p w14:paraId="5DD0D007" w14:textId="77777777" w:rsidR="00762553" w:rsidRPr="00FA3BFA" w:rsidRDefault="00000000">
      <w:pPr>
        <w:pStyle w:val="Heading2"/>
        <w:rPr>
          <w:rFonts w:ascii="Times New Roman" w:hAnsi="Times New Roman" w:cs="Times New Roman"/>
        </w:rPr>
      </w:pPr>
      <w:r w:rsidRPr="00FA3BFA">
        <w:rPr>
          <w:rFonts w:ascii="Times New Roman" w:hAnsi="Times New Roman" w:cs="Times New Roman"/>
        </w:rPr>
        <w:t>3.3 Responses by Feeding Group</w:t>
      </w:r>
    </w:p>
    <w:p w14:paraId="06642A83" w14:textId="77777777" w:rsidR="00762553" w:rsidRPr="00FA3BFA" w:rsidRDefault="00000000">
      <w:pPr>
        <w:rPr>
          <w:rFonts w:cs="Times New Roman"/>
        </w:rPr>
      </w:pPr>
      <w:r>
        <w:rPr>
          <w:b w:val="0"/>
        </w:rPr>
        <w:t xml:space="preserve">The 49 species were sorted into seven feeding groups in the species registry before any model was </w:t>
      </w:r>
      <w:r>
        <w:rPr>
          <w:b w:val="0"/>
        </w:rPr>
        <w:t xml:space="preserve">fitted, and those </w:t>
      </w:r>
      <w:r>
        <w:rPr>
          <w:b w:val="0"/>
        </w:rPr>
        <w:t xml:space="preserve">groups diverged sharply, </w:t>
      </w:r>
      <w:r>
        <w:rPr>
          <w:b w:val="0"/>
        </w:rPr>
        <w:t xml:space="preserve">with </w:t>
      </w:r>
      <w:r>
        <w:rPr>
          <w:b w:val="0"/>
        </w:rPr>
        <w:t xml:space="preserve">two </w:t>
      </w:r>
      <w:r>
        <w:rPr>
          <w:b w:val="0"/>
        </w:rPr>
        <w:t xml:space="preserve">producing </w:t>
      </w:r>
      <w:r>
        <w:rPr>
          <w:b w:val="0"/>
        </w:rPr>
        <w:t xml:space="preserve">nothing at </w:t>
      </w:r>
      <w:r>
        <w:rPr>
          <w:b w:val="0"/>
        </w:rPr>
        <w:t xml:space="preserve">all. Roe-feeding diving sea ducks, the group with the strongest prior expectation, gave the clearest count result, since seven of ten were counted in significantly larger numbers: Long-tailed Duck 1.43 (1.29–1.60), Surf Scoter 1.30 (1.21–1.40), Harlequin Duck 1.20 (1.15–1.26), Common Goldeneye 1.20 (1.15–1.25), White-winged Scoter 1.17 (1.06–1.30), Greater Scaup (</w:t>
      </w:r>
      <w:r>
        <w:rPr>
          <w:b w:val="0"/>
          <w:i/>
        </w:rPr>
        <w:t xml:space="preserve">A. marila</w:t>
      </w:r>
      <w:r>
        <w:rPr>
          <w:b w:val="0"/>
        </w:rPr>
        <w:t xml:space="preserve">) 1.16 (1.05–1.29) and Bufflehead (</w:t>
      </w:r>
      <w:r>
        <w:rPr>
          <w:b w:val="0"/>
          <w:i/>
        </w:rPr>
        <w:t xml:space="preserve">B. albeola</w:t>
      </w:r>
      <w:r>
        <w:rPr>
          <w:b w:val="0"/>
        </w:rPr>
        <w:t xml:space="preserve">) 1.12 (1.09–1.15), while Barrow's Goldeneye (</w:t>
      </w:r>
      <w:r>
        <w:rPr>
          <w:b w:val="0"/>
          <w:i/>
        </w:rPr>
        <w:t xml:space="preserve">B. islandica</w:t>
      </w:r>
      <w:r>
        <w:rPr>
          <w:b w:val="0"/>
        </w:rPr>
        <w:t xml:space="preserve">) at 1.10 (1.01–1.19) fell just outside and only Black Scoter (</w:t>
      </w:r>
      <w:r>
        <w:rPr>
          <w:b w:val="0"/>
          <w:i/>
        </w:rPr>
        <w:t xml:space="preserve">Melanitta americana</w:t>
      </w:r>
      <w:r>
        <w:rPr>
          <w:b w:val="0"/>
        </w:rPr>
        <w:t xml:space="preserve">) was flat. Reporting behaved quite differently in the same birds, because only Lesser Scaup 1.26 (1.11–1.44), Harlequin Duck 1.15 (1.05–1.26) and Greater Scaup 1.13 (1.03–1.24) cleared correction, and Surf Scoter reporting sat at 1.00. Birds that already winter on these shorelines and then concentrate where roe is reachable would produce exactly this shape.</w:t>
      </w:r>
    </w:p>
    <w:p w14:paraId="4BBF9D36" w14:textId="77777777" w:rsidR="00762553" w:rsidRPr="00FA3BFA" w:rsidRDefault="00000000">
      <w:pPr>
        <w:rPr>
          <w:rFonts w:cs="Times New Roman"/>
        </w:rPr>
      </w:pPr>
      <w:r>
        <w:rPr>
          <w:b w:val="0"/>
        </w:rPr>
        <w:t xml:space="preserve">Gulls were the mirror image, and the only group in which reporting was the stronger outcome. Six of eight were reported significantly more often, from Bonaparte's Gull at 1.48 down to Glaucous-winged Gull </w:t>
      </w:r>
      <w:r>
        <w:rPr>
          <w:b w:val="0"/>
        </w:rPr>
        <w:t xml:space="preserve">at 1.14 (1.08–1.20), with only Ring-billed and Western Gull </w:t>
      </w:r>
      <w:r>
        <w:rPr>
          <w:b w:val="0"/>
        </w:rPr>
        <w:t xml:space="preserve">outside, and four </w:t>
      </w:r>
      <w:r>
        <w:rPr>
          <w:b w:val="0"/>
        </w:rPr>
        <w:t xml:space="preserve">were also counted in larger numbers, led by Short-billed Gull at 1.30 and Glaucous-winged Gull at 1.17 (1.13–1.21). Bonaparte's Gull, which had the largest reporting increase in the study, </w:t>
      </w:r>
      <w:r>
        <w:rPr>
          <w:b w:val="0"/>
        </w:rPr>
        <w:t xml:space="preserve">nonetheless </w:t>
      </w:r>
      <w:r>
        <w:rPr>
          <w:b w:val="0"/>
        </w:rPr>
        <w:t xml:space="preserve">had a count estimate of 1.16 spanning 0.87 to 1.56, so its numbers did not detectably change. Gulls are also the group where an observation effect is hardest to rule out, because a feeding flock is visible from a long way off and easy to record without counting.</w:t>
      </w:r>
    </w:p>
    <w:p w14:paraId="10FEEE3F" w14:textId="77777777" w:rsidR="00762553" w:rsidRPr="00FA3BFA" w:rsidRDefault="00000000">
      <w:pPr>
        <w:rPr>
          <w:rFonts w:cs="Times New Roman"/>
        </w:rPr>
      </w:pPr>
      <w:r>
        <w:rPr>
          <w:b w:val="0"/>
        </w:rPr>
        <w:t xml:space="preserve">Fish-chasing piscivores showed a narrower version of the sea duck </w:t>
      </w:r>
      <w:r>
        <w:rPr>
          <w:b w:val="0"/>
        </w:rPr>
        <w:t xml:space="preserve">pattern, with five </w:t>
      </w:r>
      <w:r>
        <w:rPr>
          <w:b w:val="0"/>
        </w:rPr>
        <w:t xml:space="preserve">of twelve </w:t>
      </w:r>
      <w:r>
        <w:rPr>
          <w:b w:val="0"/>
        </w:rPr>
        <w:t xml:space="preserve">counted in larger numbers: Pacific Loon (</w:t>
      </w:r>
      <w:r>
        <w:rPr>
          <w:b w:val="0"/>
          <w:i/>
        </w:rPr>
        <w:t xml:space="preserve">Gavia pacifica</w:t>
      </w:r>
      <w:r>
        <w:rPr>
          <w:b w:val="0"/>
        </w:rPr>
        <w:t xml:space="preserve">) 1.16 (1.04–1.29), Red-breasted Merganser (</w:t>
      </w:r>
      <w:r>
        <w:rPr>
          <w:b w:val="0"/>
          <w:i/>
        </w:rPr>
        <w:t xml:space="preserve">Mergus serrator</w:t>
      </w:r>
      <w:r>
        <w:rPr>
          <w:b w:val="0"/>
        </w:rPr>
        <w:t xml:space="preserve">) 1.13 (1.07–1.19), Common Merganser (</w:t>
      </w:r>
      <w:r>
        <w:rPr>
          <w:b w:val="0"/>
          <w:i/>
        </w:rPr>
        <w:t xml:space="preserve">M. merganser</w:t>
      </w:r>
      <w:r>
        <w:rPr>
          <w:b w:val="0"/>
        </w:rPr>
        <w:t xml:space="preserve">) 1.11 (1.07–1.16), Double-crested Cormorant (</w:t>
      </w:r>
      <w:r>
        <w:rPr>
          <w:b w:val="0"/>
          <w:i/>
        </w:rPr>
        <w:t xml:space="preserve">Nannopterum auritum</w:t>
      </w:r>
      <w:r>
        <w:rPr>
          <w:b w:val="0"/>
        </w:rPr>
        <w:t xml:space="preserve">) 1.10 (1.05–1.15) and Common Loon (</w:t>
      </w:r>
      <w:r>
        <w:rPr>
          <w:b w:val="0"/>
          <w:i/>
        </w:rPr>
        <w:t xml:space="preserve">G. immer</w:t>
      </w:r>
      <w:r>
        <w:rPr>
          <w:b w:val="0"/>
        </w:rPr>
        <w:t xml:space="preserve">) 1.05 (1.01–1.08). Only Common Merganser at 1.16 (1.10–1.23) was also reported more </w:t>
      </w:r>
      <w:r>
        <w:rPr>
          <w:b w:val="0"/>
        </w:rPr>
        <w:t xml:space="preserve">often, and seven </w:t>
      </w:r>
      <w:r>
        <w:rPr>
          <w:b w:val="0"/>
        </w:rPr>
        <w:t xml:space="preserve">of the twelve, including all three grebes, showed nothing at all. Shoreline scavengers were narrower </w:t>
      </w:r>
      <w:r>
        <w:rPr>
          <w:b w:val="0"/>
        </w:rPr>
        <w:t xml:space="preserve">still, because </w:t>
      </w:r>
      <w:r>
        <w:rPr>
          <w:b w:val="0"/>
        </w:rPr>
        <w:t xml:space="preserve">Bald Eagle's count increase of 1.06 (1.05–1.08) was the group's only significant result, while American Crow, Common Raven (</w:t>
      </w:r>
      <w:r>
        <w:rPr>
          <w:b w:val="0"/>
          <w:i/>
        </w:rPr>
        <w:t xml:space="preserve">C. corax</w:t>
      </w:r>
      <w:r>
        <w:rPr>
          <w:b w:val="0"/>
        </w:rPr>
        <w:t xml:space="preserve">) and Great Blue Heron stayed flat in both outcomes despite being three of the four most frequently reported birds in the family. </w:t>
      </w:r>
      <w:r>
        <w:rPr>
          <w:b w:val="0"/>
        </w:rPr>
        <w:t xml:space="preserve">Since their </w:t>
      </w:r>
      <w:r>
        <w:rPr>
          <w:b w:val="0"/>
        </w:rPr>
        <w:t xml:space="preserve">estimates are precise, </w:t>
      </w:r>
      <w:r>
        <w:rPr>
          <w:b w:val="0"/>
        </w:rPr>
        <w:t xml:space="preserve">those flat results carry information.</w:t>
      </w:r>
    </w:p>
    <w:p w14:paraId="1F06A142" w14:textId="77777777" w:rsidR="00762553" w:rsidRPr="00FA3BFA" w:rsidRDefault="00000000">
      <w:pPr>
        <w:rPr>
          <w:rFonts w:cs="Times New Roman"/>
        </w:rPr>
      </w:pPr>
      <w:r>
        <w:rPr>
          <w:b w:val="0"/>
        </w:rPr>
        <w:t xml:space="preserve">Two groups produced nothing, and one of them had a reason to respond. No alcid cleared correction in either </w:t>
      </w:r>
      <w:r>
        <w:rPr>
          <w:b w:val="0"/>
        </w:rPr>
        <w:t xml:space="preserve">outcome, since </w:t>
      </w:r>
      <w:r>
        <w:rPr>
          <w:b w:val="0"/>
        </w:rPr>
        <w:t xml:space="preserve">Pigeon Guillemot (</w:t>
      </w:r>
      <w:r>
        <w:rPr>
          <w:b w:val="0"/>
          <w:i/>
        </w:rPr>
        <w:t xml:space="preserve">Cepphus columba</w:t>
      </w:r>
      <w:r>
        <w:rPr>
          <w:b w:val="0"/>
        </w:rPr>
        <w:t xml:space="preserve">), Marbled Murrelet (</w:t>
      </w:r>
      <w:r>
        <w:rPr>
          <w:b w:val="0"/>
          <w:i/>
        </w:rPr>
        <w:t xml:space="preserve">Brachyramphus marmoratus</w:t>
      </w:r>
      <w:r>
        <w:rPr>
          <w:b w:val="0"/>
        </w:rPr>
        <w:t xml:space="preserve">),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w:t>
      </w:r>
      <w:r>
        <w:rPr>
          <w:b w:val="0"/>
        </w:rPr>
        <w:t xml:space="preserve">case, because they </w:t>
      </w:r>
      <w:r>
        <w:rPr>
          <w:b w:val="0"/>
        </w:rPr>
        <w:t xml:space="preserve">are documented consumers of herring eggs on exposed substrate (Bishop and Green 2001), yet Black Oystercatcher, Dunlin (</w:t>
      </w:r>
      <w:r>
        <w:rPr>
          <w:b w:val="0"/>
          <w:i/>
        </w:rPr>
        <w:t xml:space="preserve">C. alpina</w:t>
      </w:r>
      <w:r>
        <w:rPr>
          <w:b w:val="0"/>
        </w:rPr>
        <w:t xml:space="preserve">), Black Turnstone (</w:t>
      </w:r>
      <w:r>
        <w:rPr>
          <w:b w:val="0"/>
          <w:i/>
        </w:rPr>
        <w:t xml:space="preserve">Arenaria melanocephala</w:t>
      </w:r>
      <w:r>
        <w:rPr>
          <w:b w:val="0"/>
        </w:rPr>
        <w:t xml:space="preserve">) and Black-bellied Plover were all reported slightly less often, between 0.94 and 0.96, none significantly, and none was counted in larger numbers either. Surfbird had the group's largest reporting estimate at 1.37 but an interval from 0.97 to 1.94 and no count model. Egg availability to a wader depends on the tide, and these models carry no tidal or diel term, so a response confined to the hours around low water would wash out across every other </w:t>
      </w:r>
      <w:r>
        <w:rPr>
          <w:b w:val="0"/>
        </w:rPr>
        <w:t xml:space="preserve">checklist, while shorebird </w:t>
      </w:r>
      <w:r>
        <w:rPr>
          <w:b w:val="0"/>
        </w:rPr>
        <w:t xml:space="preserve">use of spawn here may also be too local to register across a whole strait. The models </w:t>
      </w:r>
      <w:r>
        <w:rPr>
          <w:b w:val="0"/>
        </w:rPr>
        <w:t xml:space="preserve">fitted and </w:t>
      </w:r>
      <w:r>
        <w:rPr>
          <w:b w:val="0"/>
        </w:rPr>
        <w:t xml:space="preserve">simply found nothing.</w:t>
      </w:r>
    </w:p>
    <w:p w14:paraId="5C65278F" w14:textId="77777777" w:rsidR="00762553" w:rsidRPr="00FA3BFA" w:rsidRDefault="00000000">
      <w:pPr>
        <w:rPr>
          <w:rFonts w:cs="Times New Roman"/>
        </w:rPr>
      </w:pPr>
      <w:r>
        <w:rPr>
          <w:b w:val="0"/>
        </w:rPr>
        <w:t xml:space="preserve">Dabbling ducks and geese responded mainly through </w:t>
      </w:r>
      <w:r>
        <w:rPr>
          <w:b w:val="0"/>
        </w:rPr>
        <w:t xml:space="preserve">reporting, with </w:t>
      </w:r>
      <w:r>
        <w:rPr>
          <w:b w:val="0"/>
        </w:rPr>
        <w:t xml:space="preserve">Northern Pintail 1.21 (1.10–1.32), Brant (</w:t>
      </w:r>
      <w:r>
        <w:rPr>
          <w:b w:val="0"/>
          <w:i/>
        </w:rPr>
        <w:t xml:space="preserve">B. bernicla</w:t>
      </w:r>
      <w:r>
        <w:rPr>
          <w:b w:val="0"/>
        </w:rPr>
        <w:t xml:space="preserve">) 1.16 (1.04–1.30) and American Wigeon (</w:t>
      </w:r>
      <w:r>
        <w:rPr>
          <w:b w:val="0"/>
          <w:i/>
        </w:rPr>
        <w:t xml:space="preserve">Mareca americana</w:t>
      </w:r>
      <w:r>
        <w:rPr>
          <w:b w:val="0"/>
        </w:rPr>
        <w:t xml:space="preserve">) 1.11 (1.04–1.17) </w:t>
      </w:r>
      <w:r>
        <w:rPr>
          <w:b w:val="0"/>
        </w:rPr>
        <w:t xml:space="preserve">clearing </w:t>
      </w:r>
      <w:r>
        <w:rPr>
          <w:b w:val="0"/>
        </w:rPr>
        <w:t xml:space="preserve">correction, as did Mallard (</w:t>
      </w:r>
      <w:r>
        <w:rPr>
          <w:b w:val="0"/>
          <w:i/>
        </w:rPr>
        <w:t xml:space="preserve">A. platyrhynchos</w:t>
      </w:r>
      <w:r>
        <w:rPr>
          <w:b w:val="0"/>
        </w:rPr>
        <w:t xml:space="preserve">)'s count increase of 1.07 (1.04–1.10), while Canada Goose (</w:t>
      </w:r>
      <w:r>
        <w:rPr>
          <w:b w:val="0"/>
          <w:i/>
        </w:rPr>
        <w:t xml:space="preserve">Branta canadensis</w:t>
      </w:r>
      <w:r>
        <w:rPr>
          <w:b w:val="0"/>
        </w:rPr>
        <w:t xml:space="preserve">) stayed flat. </w:t>
      </w:r>
      <w:r>
        <w:rPr>
          <w:b w:val="0"/>
        </w:rPr>
        <w:t xml:space="preserve">This is the group in </w:t>
      </w:r>
      <w:r>
        <w:rPr>
          <w:b w:val="0"/>
        </w:rPr>
        <w:t xml:space="preserve">which </w:t>
      </w:r>
      <w:r>
        <w:rPr>
          <w:b w:val="0"/>
        </w:rPr>
        <w:t xml:space="preserve">a herring-specific reading of the family is hardest to defend.</w:t>
      </w:r>
    </w:p>
    <w:p w14:paraId="2FAB76D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3.4 </w:t>
      </w:r>
      <w:r w:rsidRPr="00FA3BFA">
        <w:rPr>
          <w:rFonts w:ascii="Times New Roman" w:hAnsi="Times New Roman" w:cs="Times New Roman"/>
        </w:rPr>
        <w:t xml:space="preserve">Timing of Response</w:t>
      </w:r>
    </w:p>
    <w:p w14:paraId="5FFABA12" w14:textId="77777777" w:rsidR="00C15184" w:rsidRPr="00FA3BFA" w:rsidRDefault="00000000">
      <w:pPr>
        <w:rPr>
          <w:rFonts w:cs="Times New Roman"/>
        </w:rPr>
      </w:pPr>
      <w:r w:rsidRPr="00FA3BFA">
        <w:rPr>
          <w:rFonts w:cs="Times New Roman"/>
          <w:color w:val="000000"/>
        </w:rPr>
        <w:t xml:space="preserve">Averaging </w:t>
      </w:r>
      <w:r w:rsidRPr="00FA3BFA">
        <w:rPr>
          <w:rFonts w:cs="Times New Roman"/>
          <w:color w:val="000000"/>
        </w:rPr>
        <w:t xml:space="preserve">over </w:t>
      </w:r>
      <w:r w:rsidRPr="00FA3BFA">
        <w:rPr>
          <w:rFonts w:cs="Times New Roman"/>
          <w:color w:val="000000"/>
        </w:rPr>
        <w:t xml:space="preserve">the active period hides </w:t>
      </w:r>
      <w:r w:rsidRPr="00FA3BFA">
        <w:rPr>
          <w:rFonts w:cs="Times New Roman"/>
          <w:color w:val="000000"/>
        </w:rPr>
        <w:t xml:space="preserve">patterns that differ through time (Figure 3), and the difference between groups can be tested. For each species, the estimate at the event date minus the estimate during early egg gives a timing score, whose variance comes from the fitted covariance matrix, and regressing that score on the feeding groups fixed before any model was run, weighted by precision, tests whether the groups differ. Both outcomes say they do, counts far more decisively than reporting (Q = 117.3 and Q = 15.0, each on 6 degrees of freedom, p &lt; 0.001 and p = 0.02), although the two outcomes separate different groups. For counts the result comes from roe-feeding divers, which peak once eggs are available, and from shoreline scavengers, which peak at the event date, whereas for reporting the two groups whose intervals exclude zero are gulls and shoreline scavengers, both peaking early, while the divers that dominate the count result are flat. Feeding group therefore explains part of the variation and not most of it, leaving 76% of the residual heterogeneity unexplained for counts and 39% for reporting.</w:t>
      </w:r>
    </w:p>
    <w:p w14:paraId="30C12593" w14:textId="77777777" w:rsidR="00C15184" w:rsidRPr="00FA3BFA" w:rsidRDefault="00000000">
      <w:pPr>
        <w:rPr>
          <w:rFonts w:cs="Times New Roman"/>
        </w:rPr>
      </w:pPr>
      <w:del w:id="30003" w:author="Claude (editorial pass)" w:date="2026-07-26T00:00:00Z">
        <w:r w:rsidRPr="00FA3BFA">
          <w:rPr>
            <w:rFonts w:cs="Times New Roman"/>
            <w:color w:val="000000"/>
          </w:rPr>
          <w:delText xml:space="preserve">Food appears in a sequence, </w:delText>
        </w:r>
      </w:del>
      <w:ins w:id="30004" w:author="Claude (editorial pass)" w:date="2026-07-26T00:00:00Z">
        <w:r w:rsidRPr="00FA3BFA">
          <w:rPr>
            <w:rFonts w:cs="Times New Roman"/>
            <w:color w:val="000000"/>
          </w:rPr>
          <w:t xml:space="preserve">Adult fish and spent carcasses come first, attached eggs later, </w:t>
        </w:r>
      </w:ins>
      <w:r w:rsidRPr="00FA3BFA">
        <w:rPr>
          <w:rFonts w:cs="Times New Roman"/>
          <w:color w:val="000000"/>
        </w:rPr>
        <w:t xml:space="preserve">and the </w:t>
      </w:r>
      <w:del w:id="30005" w:author="Claude (editorial pass)" w:date="2026-07-26T00:00:00Z">
        <w:r w:rsidRPr="00FA3BFA">
          <w:rPr>
            <w:rFonts w:cs="Times New Roman"/>
            <w:color w:val="000000"/>
          </w:rPr>
          <w:delText xml:space="preserve">separation follows it. </w:delText>
        </w:r>
      </w:del>
      <w:ins w:id="30006" w:author="Claude (editorial pass)" w:date="2026-07-26T00:00:00Z">
        <w:r w:rsidRPr="00FA3BFA">
          <w:rPr>
            <w:rFonts w:cs="Times New Roman"/>
            <w:color w:val="000000"/>
          </w:rPr>
          <w:t xml:space="preserve">groups separate in that order. </w:t>
        </w:r>
      </w:ins>
      <w:r w:rsidRPr="00FA3BFA">
        <w:rPr>
          <w:rFonts w:cs="Times New Roman"/>
          <w:color w:val="000000"/>
        </w:rPr>
        <w:t xml:space="preserve">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7CCB347E" w14:textId="77777777" w:rsidR="00C15184" w:rsidRPr="00FA3BFA" w:rsidRDefault="00000000">
      <w:pPr>
        <w:rPr>
          <w:rFonts w:cs="Times New Roman"/>
        </w:rPr>
      </w:pPr>
      <w:r w:rsidRPr="00FA3BFA">
        <w:rPr>
          <w:rFonts w:cs="Times New Roman"/>
          <w:color w:val="000000"/>
        </w:rPr>
        <w:t xml:space="preserve">Individual species show the same division. Common Merganser rose in both outcomes with both peaks close to </w:t>
      </w:r>
      <w:r w:rsidRPr="00FA3BFA">
        <w:rPr>
          <w:rFonts w:cs="Times New Roman"/>
          <w:color w:val="000000"/>
        </w:rPr>
        <w:t xml:space="preserve">the event date, </w:t>
      </w:r>
      <w:r w:rsidRPr="00FA3BFA">
        <w:rPr>
          <w:rFonts w:cs="Times New Roman"/>
          <w:color w:val="000000"/>
        </w:rPr>
        <w:t xml:space="preserve">Glaucous-winged and Short-billed Gull rose in </w:t>
      </w:r>
      <w:r w:rsidRPr="00FA3BFA">
        <w:rPr>
          <w:rFonts w:cs="Times New Roman"/>
          <w:color w:val="000000"/>
        </w:rPr>
        <w:t xml:space="preserve">both </w:t>
      </w:r>
      <w:r w:rsidRPr="00FA3BFA">
        <w:rPr>
          <w:rFonts w:cs="Times New Roman"/>
          <w:color w:val="000000"/>
        </w:rPr>
        <w:t xml:space="preserve">with the reporting change concentrated </w:t>
      </w:r>
      <w:r w:rsidRPr="00FA3BFA">
        <w:rPr>
          <w:rFonts w:cs="Times New Roman"/>
          <w:color w:val="000000"/>
        </w:rPr>
        <w:t xml:space="preserve">early, and </w:t>
      </w:r>
      <w:r w:rsidRPr="00FA3BFA">
        <w:rPr>
          <w:rFonts w:cs="Times New Roman"/>
          <w:color w:val="000000"/>
        </w:rPr>
        <w:t xml:space="preserve">Bald Eagle rose briefly near </w:t>
      </w:r>
      <w:r w:rsidRPr="00FA3BFA">
        <w:rPr>
          <w:rFonts w:cs="Times New Roman"/>
          <w:color w:val="000000"/>
        </w:rPr>
        <w:t xml:space="preserve">the event date </w:t>
      </w:r>
      <w:r w:rsidRPr="00FA3BFA">
        <w:rPr>
          <w:rFonts w:cs="Times New Roman"/>
          <w:color w:val="000000"/>
        </w:rPr>
        <w:t xml:space="preserve">in both. Surf Scoter reporting stayed at one throughout while its counts peaked during early egg availability, and White-winged Scoter and Harlequin Duck traced the same shape with smaller amplitude. Figure 3 shows these eight, chosen to span the feeding groups.</w:t>
      </w:r>
    </w:p>
    <w:p w14:paraId="1AA9B98A" w14:textId="77777777" w:rsidR="00C15184" w:rsidRPr="00FA3BFA" w:rsidRDefault="00000000">
      <w:pPr>
        <w:rPr>
          <w:rFonts w:cs="Times New Roman"/>
        </w:rPr>
      </w:pPr>
      <w:r w:rsidRPr="00FA3BFA">
        <w:rPr>
          <w:rFonts w:cs="Times New Roman"/>
          <w:color w:val="000000"/>
        </w:rPr>
        <w:t xml:space="preserve">American Wigeon appears in Figure 3 as a </w:t>
      </w:r>
      <w:r w:rsidRPr="00FA3BFA">
        <w:rPr>
          <w:rFonts w:cs="Times New Roman"/>
          <w:color w:val="000000"/>
        </w:rPr>
        <w:t xml:space="preserve">counterpoint, since its </w:t>
      </w:r>
      <w:r w:rsidRPr="00FA3BFA">
        <w:rPr>
          <w:rFonts w:cs="Times New Roman"/>
          <w:color w:val="000000"/>
        </w:rPr>
        <w:t xml:space="preserve">estimates were modestly positive after </w:t>
      </w:r>
      <w:r w:rsidRPr="00FA3BFA">
        <w:rPr>
          <w:rFonts w:cs="Times New Roman"/>
          <w:color w:val="000000"/>
        </w:rPr>
        <w:t xml:space="preserve">the event date </w:t>
      </w:r>
      <w:r w:rsidRPr="00FA3BFA">
        <w:rPr>
          <w:rFonts w:cs="Times New Roman"/>
          <w:color w:val="000000"/>
        </w:rPr>
        <w:t xml:space="preserve">even though no direct herring link is established for it, and its profile lacks the late peak </w:t>
      </w:r>
      <w:r w:rsidRPr="00FA3BFA">
        <w:rPr>
          <w:rFonts w:cs="Times New Roman"/>
          <w:color w:val="000000"/>
        </w:rPr>
        <w:t xml:space="preserve">that </w:t>
      </w:r>
      <w:r w:rsidRPr="00FA3BFA">
        <w:rPr>
          <w:rFonts w:cs="Times New Roman"/>
          <w:color w:val="000000"/>
        </w:rPr>
        <w:t xml:space="preserve">the roe-feeding divers </w:t>
      </w:r>
      <w:r w:rsidRPr="00FA3BFA">
        <w:rPr>
          <w:rFonts w:cs="Times New Roman"/>
          <w:color w:val="000000"/>
        </w:rPr>
        <w:t xml:space="preserve">show.</w:t>
      </w:r>
    </w:p>
    <w:p w14:paraId="7C3FAF08" w14:textId="77777777" w:rsidR="00C15184" w:rsidRPr="00FA3BFA" w:rsidRDefault="00000000">
      <w:pPr>
        <w:keepNext/>
        <w:rPr>
          <w:rFonts w:cs="Times New Roman"/>
        </w:rPr>
      </w:pPr>
      <w:r w:rsidRPr="00FA3BFA">
        <w:rPr>
          <w:rFonts w:cs="Times New Roman"/>
          <w:noProof/>
          <w:color w:val="000000"/>
        </w:rPr>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322AC62F" w14:textId="77777777" w:rsidR="00C15184" w:rsidRPr="00FA3BFA" w:rsidRDefault="00000000">
      <w:commentRangeStart w:id="142"/>
      <w:commentRangeStart w:id="26"/>
      <w:pPr>
        <w:rPr>
          <w:rFonts w:cs="Times New Roman"/>
        </w:rPr>
      </w:pPr>
      <w:r w:rsidRPr="00FA3BFA">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commentRangeEnd w:id="26"/>
      <w:r w:rsidRPr="00FA3BFA">
        <w:rPr>
          <w:rFonts w:cs="Times New Roman"/>
          <w:color w:val="000000"/>
        </w:rPr>
        <w:commentReference w:id="26"/>
      </w:r>
      <w:commentRangeEnd w:id="142"/>
      <w:r w:rsidRPr="00FA3BFA">
        <w:rPr>
          <w:rFonts w:cs="Times New Roman"/>
          <w:color w:val="000000"/>
        </w:rPr>
        <w:commentReference w:id="142"/>
      </w:r>
    </w:p>
    <w:p w14:paraId="2E01D1B7" w14:textId="77777777" w:rsidR="00762553" w:rsidRPr="00FA3BFA" w:rsidRDefault="00000000">
      <w:pPr>
        <w:rPr>
          <w:rFonts w:cs="Times New Roman"/>
        </w:rPr>
      </w:pPr>
      <w:r w:rsidRPr="00FA3BFA">
        <w:rPr>
          <w:rFonts w:cs="Times New Roman"/>
        </w:rPr>
        <w:t xml:space="preserve">Widening from eight species to the whole family gives the </w:t>
      </w:r>
      <w:r w:rsidRPr="00FA3BFA">
        <w:rPr>
          <w:rFonts w:cs="Times New Roman"/>
        </w:rPr>
        <w:t xml:space="preserve">same </w:t>
      </w:r>
      <w:r w:rsidRPr="00FA3BFA">
        <w:rPr>
          <w:rFonts w:cs="Times New Roman"/>
        </w:rPr>
        <w:t xml:space="preserve">shape. </w:t>
      </w:r>
      <w:r w:rsidRPr="00FA3BFA">
        <w:rPr>
          <w:rFonts w:cs="Times New Roman"/>
        </w:rPr>
        <w:t xml:space="preserve">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6D72EC0" w14:textId="77777777" w:rsidR="00762553" w:rsidRPr="00FA3BFA" w:rsidRDefault="00000000">
      <w:pPr>
        <w:rPr>
          <w:rFonts w:cs="Times New Roman"/>
        </w:rPr>
      </w:pPr>
      <w:r w:rsidRPr="00FA3BFA">
        <w:rPr>
          <w:rFonts w:cs="Times New Roman"/>
        </w:rPr>
        <w:t xml:space="preserve">Species do not, however, fall into discrete response types. </w:t>
      </w:r>
      <w:r w:rsidRPr="00FA3BFA">
        <w:rPr>
          <w:rFonts w:cs="Times New Roman"/>
        </w:rPr>
        <w:t xml:space="preserve">Residual heterogeneity after fitting </w:t>
      </w:r>
      <w:r w:rsidRPr="00FA3BFA">
        <w:rPr>
          <w:rFonts w:cs="Times New Roman"/>
        </w:rPr>
        <w:t xml:space="preserve">the </w:t>
      </w:r>
      <w:r w:rsidRPr="00FA3BFA">
        <w:rPr>
          <w:rFonts w:cs="Times New Roman"/>
        </w:rPr>
        <w:t xml:space="preserve">feeding groups </w:t>
      </w:r>
      <w:r w:rsidRPr="00FA3BFA">
        <w:rPr>
          <w:rFonts w:cs="Times New Roman"/>
        </w:rPr>
        <w:t xml:space="preserve">remains large in both outcomes, so the </w:t>
      </w:r>
      <w:r w:rsidRPr="00FA3BFA">
        <w:rPr>
          <w:rFonts w:cs="Times New Roman"/>
        </w:rPr>
        <w:t xml:space="preserve">group differences reported above </w:t>
      </w:r>
      <w:r w:rsidRPr="00FA3BFA">
        <w:rPr>
          <w:rFonts w:cs="Times New Roman"/>
        </w:rPr>
        <w:t xml:space="preserve">describe </w:t>
      </w:r>
      <w:r w:rsidRPr="00FA3BFA">
        <w:rPr>
          <w:rFonts w:cs="Times New Roman"/>
        </w:rPr>
        <w:t xml:space="preserve">average </w:t>
      </w:r>
      <w:r w:rsidRPr="00FA3BFA">
        <w:rPr>
          <w:rFonts w:cs="Times New Roman"/>
        </w:rPr>
        <w:t xml:space="preserve">timing and </w:t>
      </w:r>
      <w:r w:rsidRPr="00FA3BFA">
        <w:rPr>
          <w:rFonts w:cs="Times New Roman"/>
        </w:rPr>
        <w:t xml:space="preserve">not a partition of the </w:t>
      </w:r>
      <w:r w:rsidRPr="00FA3BFA">
        <w:rPr>
          <w:rFonts w:cs="Times New Roman"/>
        </w:rPr>
        <w:t xml:space="preserve">family.</w:t>
      </w:r>
    </w:p>
    <w:p w14:paraId="58294A59" w14:textId="77777777" w:rsidR="00762553" w:rsidRPr="00FA3BFA" w:rsidRDefault="00000000">
      <w:pPr>
        <w:jc w:val="center"/>
        <w:rPr>
          <w:rFonts w:cs="Times New Roman"/>
        </w:rPr>
      </w:pPr>
      <w:r w:rsidRPr="00FA3BFA">
        <w:rPr>
          <w:rFonts w:cs="Times New Roman"/>
          <w:noProof/>
        </w:rPr>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431626ED" w14:textId="77777777" w:rsidR="00762553" w:rsidRPr="00FA3BFA" w:rsidRDefault="00000000">
      <w:pPr>
        <w:rPr>
          <w:rFonts w:cs="Times New Roman"/>
        </w:rPr>
      </w:pPr>
      <w:r w:rsidRPr="00FA3BFA">
        <w:rPr>
          <w:rFonts w:cs="Times New Roman"/>
        </w:rP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6BF40C20" w14:textId="77777777" w:rsidR="00BF0BAC" w:rsidRPr="00FA3BFA" w:rsidRDefault="00000000">
      <w:pPr>
        <w:pStyle w:val="Heading3"/>
        <w:rPr>
          <w:rFonts w:cs="Times New Roman"/>
        </w:rPr>
      </w:pPr>
      <w:r w:rsidRPr="00FA3BFA">
        <w:rPr>
          <w:rFonts w:cs="Times New Roman"/>
        </w:rPr>
        <w:t xml:space="preserve">Fine-Scale Timing in Two Waterbirds and a Terrestrial Control</w:t>
      </w:r>
    </w:p>
    <w:p w14:paraId="0C8205F7" w14:textId="77777777" w:rsidR="00BF0BAC" w:rsidRPr="00FA3BFA" w:rsidRDefault="00000000">
      <w:pPr>
        <w:rPr>
          <w:rFonts w:cs="Times New Roman"/>
        </w:rPr>
      </w:pPr>
      <w:r w:rsidRPr="00FA3BFA">
        <w:rPr>
          <w:rFonts w:cs="Times New Roman"/>
        </w:rPr>
        <w:t xml:space="preserve">The three species separate a localized waterbird response from broader event-time structure (Figure 5). The 0 to 2 km days 0 to 3 cell contained 1,166 exposed checklists, about half the support in the 8 to 12 km bands. Across 312 waterbird comparisons, 84 survived correction.</w:t>
      </w:r>
    </w:p>
    <w:p w14:paraId="732B7C37" w14:textId="77777777" w:rsidR="00BF0BAC" w:rsidRPr="00FA3BFA" w:rsidRDefault="00000000">
      <w:pPr>
        <w:rPr>
          <w:rFonts w:cs="Times New Roman"/>
        </w:rPr>
      </w:pPr>
      <w:r w:rsidRPr="00FA3BFA">
        <w:rPr>
          <w:rFonts w:cs="Times New Roman"/>
        </w:rPr>
        <w:t xml:space="preserve">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t>
      </w:r>
    </w:p>
    <w:p w14:paraId="66493F9E" w14:textId="77777777" w:rsidR="00BF0BAC" w:rsidRPr="00FA3BFA" w:rsidRDefault="00000000">
      <w:pPr>
        <w:rPr>
          <w:rFonts w:cs="Times New Roman"/>
        </w:rPr>
      </w:pPr>
      <w:r w:rsidRPr="00FA3BFA">
        <w:rPr>
          <w:rFonts w:cs="Times New Roman"/>
        </w:rPr>
        <w:t xml:space="preserve">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t>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486400" cy="3048000"/>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900"/>
                    <a:stretch>
                      <a:fillRect/>
                    </a:stretch>
                  </pic:blipFill>
                  <pic:spPr bwMode="auto">
                    <a:xfrm>
                      <a:off x="0" y="0"/>
                      <a:ext cx="5486400" cy="3048000"/>
                    </a:xfrm>
                    <a:prstGeom prst="rect">
                      <a:avLst/>
                    </a:prstGeom>
                    <a:noFill/>
                    <a:ln w="9525">
                      <a:noFill/>
                      <a:headEnd/>
                      <a:tailEnd/>
                    </a:ln>
                  </pic:spPr>
                </pic:pic>
              </a:graphicData>
            </a:graphic>
          </wp:inline>
        </w:drawing>
      </w:r>
    </w:p>
    <w:p w14:paraId="431626ED" w14:textId="77777777" w:rsidR="00762553" w:rsidRPr="00FA3BFA" w:rsidRDefault="00000000">
      <w:pPr>
        <w:rPr>
          <w:rFonts w:cs="Times New Roman"/>
        </w:rPr>
      </w:pPr>
      <w:r w:rsidRPr="00FA3BFA">
        <w:rPr>
          <w:rFonts w:cs="Times New Roman"/>
        </w:rPr>
        <w:t xml:space="preserve">Figure 5. Placeholder. Event-time profiles at 2 km resolution for Bald Eagle, Glaucous-winged Gull and American Robin across the 13 distance bands from 0 to 2 km out to 24 to 26 km. Reporting and count ratios are shown against the same-band baseline, so each band carries its own reference and the comparison is within band rather than between bands. The final figure will be produced from the distance-band output.</w:t>
      </w:r>
    </w:p>
    <w:p w14:paraId="43E02FD5"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3.5 </w:t>
      </w:r>
      <w:r w:rsidRPr="00FA3BFA">
        <w:rPr>
          <w:rFonts w:ascii="Times New Roman" w:hAnsi="Times New Roman" w:cs="Times New Roman"/>
        </w:rPr>
        <w:t xml:space="preserve">Effect Sizes on </w:t>
      </w:r>
      <w:r w:rsidRPr="00FA3BFA">
        <w:rPr>
          <w:rFonts w:ascii="Times New Roman" w:hAnsi="Times New Roman" w:cs="Times New Roman"/>
        </w:rPr>
        <w:t xml:space="preserve">the </w:t>
      </w:r>
      <w:r w:rsidRPr="00FA3BFA">
        <w:rPr>
          <w:rFonts w:ascii="Times New Roman" w:hAnsi="Times New Roman" w:cs="Times New Roman"/>
        </w:rPr>
        <w:t xml:space="preserve">Observed </w:t>
      </w:r>
      <w:r w:rsidRPr="00FA3BFA">
        <w:rPr>
          <w:rFonts w:ascii="Times New Roman" w:hAnsi="Times New Roman" w:cs="Times New Roman"/>
        </w:rPr>
        <w:t xml:space="preserve">Scale</w:t>
      </w:r>
    </w:p>
    <w:p w14:paraId="0A97E123" w14:textId="77777777" w:rsidR="00C15184" w:rsidRPr="00FA3BFA" w:rsidRDefault="00000000">
      <w:pPr>
        <w:rPr>
          <w:rFonts w:cs="Times New Roman"/>
        </w:rPr>
      </w:pPr>
      <w:r w:rsidRPr="00FA3BFA">
        <w:rPr>
          <w:rFonts w:cs="Times New Roman"/>
          <w:color w:val="000000"/>
        </w:rPr>
        <w:t xml:space="preserve">Standardized predictions </w:t>
      </w:r>
      <w:del w:id="30007" w:author="Claude (editorial pass)" w:date="2026-07-26T00:00:00Z">
        <w:r w:rsidRPr="00FA3BFA">
          <w:rPr>
            <w:rFonts w:cs="Times New Roman"/>
            <w:color w:val="000000"/>
          </w:rPr>
          <w:delText xml:space="preserve">put </w:delText>
        </w:r>
      </w:del>
      <w:ins w:id="30008" w:author="Claude (editorial pass)" w:date="2026-07-26T00:00:00Z">
        <w:r w:rsidRPr="00FA3BFA">
          <w:rPr>
            <w:rFonts w:cs="Times New Roman"/>
            <w:color w:val="000000"/>
          </w:rPr>
          <w:t xml:space="preserve">convert </w:t>
        </w:r>
      </w:ins>
      <w:r w:rsidRPr="00FA3BFA">
        <w:rPr>
          <w:rFonts w:cs="Times New Roman"/>
          <w:color w:val="000000"/>
        </w:rPr>
        <w:t xml:space="preserve">several of these ratios </w:t>
      </w:r>
      <w:ins w:id="30009" w:author="Claude (editorial pass)" w:date="2026-07-26T00:00:00Z">
        <w:r w:rsidRPr="00FA3BFA">
          <w:rPr>
            <w:rFonts w:cs="Times New Roman"/>
            <w:color w:val="000000"/>
          </w:rPr>
          <w:t xml:space="preserve">into birds </w:t>
        </w:r>
      </w:ins>
      <w:r w:rsidRPr="00FA3BFA">
        <w:rPr>
          <w:rFonts w:cs="Times New Roman"/>
          <w:color w:val="000000"/>
        </w:rPr>
        <w:t xml:space="preserve">on a </w:t>
      </w:r>
      <w:del w:id="30010" w:author="Claude (editorial pass)" w:date="2026-07-26T00:00:00Z">
        <w:r w:rsidRPr="00FA3BFA">
          <w:rPr>
            <w:rFonts w:cs="Times New Roman"/>
            <w:color w:val="000000"/>
          </w:rPr>
          <w:delText xml:space="preserve">scale a reader can picture. </w:delText>
        </w:r>
      </w:del>
      <w:ins w:id="30011" w:author="Claude (editorial pass)" w:date="2026-07-26T00:00:00Z">
        <w:r w:rsidRPr="00FA3BFA">
          <w:rPr>
            <w:rFonts w:cs="Times New Roman"/>
            <w:color w:val="000000"/>
          </w:rPr>
          <w:t xml:space="preserve">checklist and percentage points. </w:t>
        </w:r>
      </w:ins>
      <w:r w:rsidRPr="00FA3BFA">
        <w:rPr>
          <w:rFonts w:cs="Times New Roman"/>
          <w:color w:val="000000"/>
        </w:rPr>
        <w:t xml:space="preserve">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7FA4BE9F" w14:textId="77777777" w:rsidR="00C15184" w:rsidRPr="00FA3BFA" w:rsidRDefault="00000000">
      <w:pPr>
        <w:rPr>
          <w:rFonts w:cs="Times New Roman"/>
        </w:rPr>
      </w:pPr>
      <w:r w:rsidRPr="00FA3BFA">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6E31E1D4"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3.6 Results </w:t>
      </w:r>
      <w:r w:rsidRPr="00FA3BFA">
        <w:rPr>
          <w:rFonts w:ascii="Times New Roman" w:hAnsi="Times New Roman" w:cs="Times New Roman"/>
        </w:rPr>
        <w:t xml:space="preserve">Inconsistent with </w:t>
      </w:r>
      <w:r w:rsidRPr="00FA3BFA">
        <w:rPr>
          <w:rFonts w:ascii="Times New Roman" w:hAnsi="Times New Roman" w:cs="Times New Roman"/>
        </w:rPr>
        <w:t xml:space="preserve">a Herring-Specific </w:t>
      </w:r>
      <w:r w:rsidRPr="00FA3BFA">
        <w:rPr>
          <w:rFonts w:ascii="Times New Roman" w:hAnsi="Times New Roman" w:cs="Times New Roman"/>
        </w:rPr>
        <w:t xml:space="preserve">Response</w:t>
      </w:r>
    </w:p>
    <w:p w14:paraId="0AB17CD4" w14:textId="77777777" w:rsidR="00C15184" w:rsidRPr="00FA3BFA" w:rsidRDefault="00000000">
      <w:pPr>
        <w:rPr>
          <w:rFonts w:cs="Times New Roman"/>
        </w:rPr>
      </w:pPr>
      <w:r w:rsidRPr="00FA3BFA">
        <w:rPr>
          <w:rFonts w:cs="Times New Roman"/>
        </w:rPr>
        <w:t>Dabbling ducks and geese also responded. Northern Pintail and American Wigeon were reported more often, Mallard was counted in larger numbers, and Brant was reported more often. The two comparators do not behave alike once uncertainty is attached. Gadwall's near-to-reference reporting ratio was 0.88 (95% CI 0.80–0.97) at baseline and 0.92 (0.84–1.01) during late egg availability, a climb indistinguishable from flat, and neither its active-period value of 1.03 (0.90–1.17) nor its late-egg value of 1.05 (0.92–1.19) differed from one. Northern Shoveler climbed from 1.00 (0.90–1.11) at baseline to 1.26 (1.15–1.39) during late egg availability, and both its active value of 1.24 (1.08–1.43) and its late-egg value of 1.27 (1.10–1.46) exceeded one, the later of the two being larger. Only Northern Shoveler cleared correction. The full period series for both is in the supplementary material.</w:t>
      </w:r>
    </w:p>
    <w:p w14:paraId="560E7967" w14:textId="77777777" w:rsidR="00C15184" w:rsidRPr="00FA3BFA" w:rsidRDefault="00000000">
      <w:pPr>
        <w:rPr>
          <w:rFonts w:cs="Times New Roman"/>
        </w:rPr>
      </w:pPr>
      <w:del w:id="30012" w:author="Claude (editorial pass)" w:date="2026-07-26T00:00:00Z">
        <w:r w:rsidRPr="00FA3BFA">
          <w:rPr>
            <w:rFonts w:cs="Times New Roman"/>
            <w:color w:val="000000"/>
          </w:rPr>
          <w:delText xml:space="preserve">These results are harder to read than they first appear. </w:delText>
        </w:r>
      </w:del>
      <w:r w:rsidRPr="00FA3BFA">
        <w:rPr>
          <w:rFonts w:cs="Times New Roman"/>
          <w:color w:val="000000"/>
        </w:rPr>
        <w:t xml:space="preserve">Mallard, American Wigeon and Northern Pintail were assigned before fitting to a weak surface-feeding roe-use group, and dabbling ducks have been seen taking stranded and drifting eggs on spawning beaches in this region (J. T. Dingwall, personal observation), so a feeding route is open to them even though the published record does not document it. The group responded through reporting and not counts, the opposite of the sea ducks, and its timing was flat, without the late peak the divers show. The cleaner comparison is Gadwall and Northern Shoveler, neither of which has an established herring association: one responded and one did not, which is the level of specificity these data support.</w:t>
      </w:r>
    </w:p>
    <w:p w14:paraId="04543A9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3.7 Sensitivity </w:t>
      </w:r>
      <w:r w:rsidRPr="00FA3BFA">
        <w:rPr>
          <w:rFonts w:ascii="Times New Roman" w:hAnsi="Times New Roman" w:cs="Times New Roman"/>
        </w:rPr>
        <w:t xml:space="preserve">Analyses</w:t>
      </w:r>
    </w:p>
    <w:p w14:paraId="2E5861FD" w14:textId="77777777" w:rsidR="00C15184" w:rsidRPr="00FA3BFA" w:rsidRDefault="00000000">
      <w:pPr>
        <w:rPr>
          <w:rFonts w:cs="Times New Roman"/>
        </w:rPr>
      </w:pPr>
      <w:r w:rsidRPr="00FA3BFA">
        <w:rPr>
          <w:rFonts w:cs="Times New Roman"/>
          <w:color w:val="000000"/>
        </w:rPr>
        <w:t xml:space="preserve">Without spawning, the </w:t>
      </w:r>
      <w:r w:rsidRPr="00FA3BFA">
        <w:rPr>
          <w:rFonts w:cs="Times New Roman"/>
          <w:color w:val="000000"/>
        </w:rPr>
        <w:t xml:space="preserve">design </w:t>
      </w:r>
      <w:r w:rsidRPr="00FA3BFA">
        <w:rPr>
          <w:rFonts w:cs="Times New Roman"/>
          <w:color w:val="000000"/>
        </w:rPr>
        <w:t xml:space="preserve">assumes, </w:t>
      </w:r>
      <w:r w:rsidRPr="00FA3BFA">
        <w:rPr>
          <w:rFonts w:cs="Times New Roman"/>
          <w:color w:val="000000"/>
        </w:rPr>
        <w:t xml:space="preserve">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 The two comparators form a separate set, and Section 4.2 takes them up.</w:t>
      </w:r>
    </w:p>
    <w:p w14:paraId="0FB3E40E" w14:textId="77777777" w:rsidR="00C15184" w:rsidRPr="00FA3BFA" w:rsidRDefault="00000000">
      <w:pPr>
        <w:rPr>
          <w:rFonts w:cs="Times New Roman"/>
        </w:rPr>
      </w:pPr>
      <w:r w:rsidRPr="00FA3BFA">
        <w:rPr>
          <w:rFonts w:cs="Times New Roman"/>
          <w:color w:val="000000"/>
        </w:rPr>
        <w:t xml:space="preserve">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w:t>
      </w:r>
      <w:r w:rsidRPr="00FA3BFA">
        <w:rPr>
          <w:rFonts w:cs="Times New Roman"/>
          <w:color w:val="000000"/>
        </w:rPr>
        <w:t xml:space="preserve">power.</w:t>
      </w:r>
    </w:p>
    <w:p w14:paraId="0340A8F5" w14:textId="77777777" w:rsidR="00C15184" w:rsidRPr="00FA3BFA" w:rsidRDefault="00000000">
      <w:pPr>
        <w:rPr>
          <w:rFonts w:cs="Times New Roman"/>
        </w:rPr>
      </w:pPr>
      <w:r w:rsidRPr="00FA3BFA">
        <w:rPr>
          <w:rFonts w:cs="Times New Roman"/>
          <w:color w:val="000000"/>
        </w:rPr>
        <w:t xml:space="preserve">Every </w:t>
      </w:r>
      <w:r w:rsidRPr="00FA3BFA">
        <w:rPr>
          <w:rFonts w:cs="Times New Roman"/>
          <w:color w:val="000000"/>
        </w:rPr>
        <w:t xml:space="preserve">eligible link between a checklist and an </w:t>
      </w:r>
      <w:r w:rsidRPr="00FA3BFA">
        <w:rPr>
          <w:rFonts w:cs="Times New Roman"/>
          <w:color w:val="000000"/>
        </w:rPr>
        <w:t xml:space="preserve">event entered the main models, </w:t>
      </w:r>
      <w:r w:rsidRPr="00FA3BFA">
        <w:rPr>
          <w:rFonts w:cs="Times New Roman"/>
          <w:color w:val="000000"/>
        </w:rPr>
        <w:t xml:space="preserve">so </w:t>
      </w:r>
      <w:r w:rsidRPr="00FA3BFA">
        <w:rPr>
          <w:rFonts w:cs="Times New Roman"/>
          <w:color w:val="000000"/>
        </w:rPr>
        <w:t xml:space="preserve">those models </w:t>
      </w:r>
      <w:r w:rsidRPr="00FA3BFA">
        <w:rPr>
          <w:rFonts w:cs="Times New Roman"/>
          <w:color w:val="000000"/>
        </w:rPr>
        <w:t xml:space="preserve">were compared against the alternative encoding chosen in advance and described in Section 2.5, which assigns each checklist to its nearest event.</w:t>
      </w:r>
    </w:p>
    <w:p w14:paraId="629E7780" w14:textId="77777777" w:rsidR="00C15184" w:rsidRPr="00FA3BFA" w:rsidRDefault="00000000">
      <w:pPr>
        <w:rPr>
          <w:rFonts w:cs="Times New Roman"/>
        </w:rPr>
      </w:pPr>
      <w:r w:rsidRPr="00FA3BFA">
        <w:rPr>
          <w:rFonts w:cs="Times New Roman"/>
          <w:color w:val="000000"/>
        </w:rPr>
        <w:t>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1.10 to 0.95. Those four mark conclusions that depend heavily on how overlapping events are represented.</w:t>
      </w:r>
    </w:p>
    <w:p w14:paraId="745B41B1" w14:textId="77777777" w:rsidR="00762553" w:rsidRPr="00FA3BFA" w:rsidRDefault="00000000">
      <w:pPr>
        <w:rPr>
          <w:rFonts w:cs="Times New Roman"/>
        </w:rPr>
      </w:pPr>
      <w:r w:rsidRPr="00FA3BFA">
        <w:rPr>
          <w:rFonts w:cs="Times New Roman"/>
        </w:rP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231A712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4 Discussion</w:t>
      </w:r>
    </w:p>
    <w:p w14:paraId="4872EBEF"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4.1 </w:t>
      </w:r>
      <w:r w:rsidRPr="00FA3BFA">
        <w:rPr>
          <w:rFonts w:ascii="Times New Roman" w:hAnsi="Times New Roman" w:cs="Times New Roman"/>
        </w:rPr>
        <w:t xml:space="preserve">Principal Findings</w:t>
      </w:r>
    </w:p>
    <w:p w14:paraId="7BD20DB5" w14:textId="77777777" w:rsidR="00C15184" w:rsidRPr="00FA3BFA" w:rsidRDefault="00000000">
      <w:pPr>
        <w:rPr>
          <w:rFonts w:cs="Times New Roman"/>
        </w:rPr>
      </w:pPr>
      <w:r w:rsidRPr="00FA3BFA">
        <w:rPr>
          <w:rFonts w:cs="Times New Roman"/>
          <w:color w:val="000000"/>
        </w:rPr>
        <w:t xml:space="preserve">Coastal birds were recorded differently around herring spawning events, and the clearest signal was in how many birds observers wrote </w:t>
      </w:r>
      <w:r w:rsidRPr="00FA3BFA">
        <w:rPr>
          <w:rFonts w:cs="Times New Roman"/>
          <w:color w:val="000000"/>
        </w:rPr>
        <w:t xml:space="preserve">down rather than </w:t>
      </w:r>
      <w:r w:rsidRPr="00FA3BFA">
        <w:rPr>
          <w:rFonts w:cs="Times New Roman"/>
          <w:color w:val="000000"/>
        </w:rPr>
        <w:t xml:space="preserve">in how often they wrote anything at all. That distinction is the main </w:t>
      </w:r>
      <w:r w:rsidRPr="00FA3BFA">
        <w:rPr>
          <w:rFonts w:cs="Times New Roman"/>
          <w:color w:val="000000"/>
        </w:rPr>
        <w:t xml:space="preserve">result, and it holds up in three ways: it </w:t>
      </w:r>
      <w:r w:rsidRPr="00FA3BFA">
        <w:rPr>
          <w:rFonts w:cs="Times New Roman"/>
          <w:color w:val="000000"/>
        </w:rPr>
        <w:t xml:space="preserve">survived every change in how overlapping events were represented, it is the outcome for which the timing test is most decisive, and it is the harder of the two to produce through observer behaviour alone, because writing a larger number means seeing more birds in a way that writing a species name does not.</w:t>
      </w:r>
    </w:p>
    <w:p w14:paraId="4464C972" w14:textId="77777777" w:rsidR="00C15184" w:rsidRPr="00FA3BFA" w:rsidRDefault="00000000">
      <w:pPr>
        <w:rPr>
          <w:rFonts w:cs="Times New Roman"/>
        </w:rPr>
      </w:pPr>
      <w:r w:rsidRPr="00FA3BFA">
        <w:rPr>
          <w:rFonts w:cs="Times New Roman"/>
          <w:color w:val="000000"/>
        </w:rPr>
        <w:t xml:space="preserve">Timing </w:t>
      </w:r>
      <w:r w:rsidRPr="00FA3BFA">
        <w:rPr>
          <w:rFonts w:cs="Times New Roman"/>
          <w:color w:val="000000"/>
        </w:rPr>
        <w:t xml:space="preserve">adds detail that a single before-and-after number cannot. Diving sea ducks reached their largest counts once eggs were available, whereas shoreline scavengers peaked as spawning began in both outcomes, and gulls peaked early in reporting while showing no timing difference in counts. A test on feeding groups fixed before fitting rejects equal timing in both outcomes, and the groups it separates differ between them. This is what a spawn should look like if it is not one uniform meal, because adult fish, attached eggs, dislodged eggs, carcasses and the scavengers those attract become available to different birds at different times and depths, and because a gull flock is conspicuous enough to change whether a checklist mentions the species while a raft of scoters changes how many get counted. The count evidence is much the stronger of the two, however, and the reporting result should be read as its weaker companion.</w:t>
      </w:r>
    </w:p>
    <w:p w14:paraId="6990FB72" w14:textId="77777777" w:rsidR="00C15184" w:rsidRPr="00FA3BFA" w:rsidRDefault="00000000">
      <w:pPr>
        <w:rPr>
          <w:rFonts w:cs="Times New Roman"/>
        </w:rPr>
      </w:pPr>
      <w:r w:rsidRPr="00FA3BFA">
        <w:rPr>
          <w:rFonts w:cs="Times New Roman"/>
          <w:color w:val="000000"/>
        </w:rPr>
        <w:t xml:space="preserve">The analysis remains observational. It accounts for seasonal change shared by near and far shorelines and for their average difference before </w:t>
      </w:r>
      <w:r w:rsidRPr="00FA3BFA">
        <w:rPr>
          <w:rFonts w:cs="Times New Roman"/>
          <w:color w:val="000000"/>
        </w:rPr>
        <w:t xml:space="preserve">the event date, </w:t>
      </w:r>
      <w:r w:rsidRPr="00FA3BFA">
        <w:rPr>
          <w:rFonts w:cs="Times New Roman"/>
          <w:color w:val="000000"/>
        </w:rPr>
        <w:t xml:space="preserve">and it never observes a bird eating </w:t>
      </w:r>
      <w:r w:rsidRPr="00FA3BFA">
        <w:rPr>
          <w:rFonts w:cs="Times New Roman"/>
          <w:color w:val="000000"/>
        </w:rPr>
        <w:t xml:space="preserve">herring or </w:t>
      </w:r>
      <w:r w:rsidRPr="00FA3BFA">
        <w:rPr>
          <w:rFonts w:cs="Times New Roman"/>
          <w:color w:val="000000"/>
        </w:rPr>
        <w:t xml:space="preserve">moving toward a </w:t>
      </w:r>
      <w:r w:rsidRPr="00FA3BFA">
        <w:rPr>
          <w:rFonts w:cs="Times New Roman"/>
          <w:color w:val="000000"/>
        </w:rPr>
        <w:t xml:space="preserve">spawn. What it </w:t>
      </w:r>
      <w:r w:rsidRPr="00FA3BFA">
        <w:rPr>
          <w:rFonts w:cs="Times New Roman"/>
          <w:color w:val="000000"/>
        </w:rPr>
        <w:t xml:space="preserve">observes </w:t>
      </w:r>
      <w:r w:rsidRPr="00FA3BFA">
        <w:rPr>
          <w:rFonts w:cs="Times New Roman"/>
          <w:color w:val="000000"/>
        </w:rPr>
        <w:t xml:space="preserve">is </w:t>
      </w:r>
      <w:r w:rsidRPr="00FA3BFA">
        <w:rPr>
          <w:rFonts w:cs="Times New Roman"/>
          <w:color w:val="000000"/>
        </w:rPr>
        <w:t xml:space="preserve">what people wrote on checklists.</w:t>
      </w:r>
    </w:p>
    <w:p w14:paraId="7A0B26D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4.2 Ecological Interpretation </w:t>
      </w:r>
      <w:r w:rsidRPr="00FA3BFA">
        <w:rPr>
          <w:rFonts w:ascii="Times New Roman" w:hAnsi="Times New Roman" w:cs="Times New Roman"/>
        </w:rPr>
        <w:t xml:space="preserve">by Feeding Group</w:t>
      </w:r>
    </w:p>
    <w:p w14:paraId="18DF066A" w14:textId="77777777" w:rsidR="00C15184" w:rsidRPr="00FA3BFA" w:rsidRDefault="00000000">
      <w:pPr>
        <w:pStyle w:val="Heading3"/>
        <w:rPr>
          <w:rFonts w:cs="Times New Roman"/>
        </w:rPr>
      </w:pPr>
      <w:r w:rsidRPr="00FA3BFA">
        <w:rPr>
          <w:rFonts w:cs="Times New Roman"/>
        </w:rPr>
        <w:t>Sea Ducks</w:t>
      </w:r>
    </w:p>
    <w:p w14:paraId="3F05DC69" w14:textId="77777777" w:rsidR="00C15184" w:rsidRPr="00FA3BFA" w:rsidRDefault="00000000">
      <w:pPr>
        <w:rPr>
          <w:rFonts w:cs="Times New Roman"/>
        </w:rPr>
      </w:pPr>
      <w:r w:rsidRPr="00FA3BFA">
        <w:rPr>
          <w:rFonts w:cs="Times New Roman"/>
          <w:color w:val="000000"/>
        </w:rPr>
        <w:t xml:space="preserve">Scoters </w:t>
      </w:r>
      <w:r w:rsidRPr="00FA3BFA">
        <w:rPr>
          <w:rFonts w:cs="Times New Roman"/>
          <w:color w:val="000000"/>
        </w:rPr>
        <w:t xml:space="preserve">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5EE5820F" w14:textId="77777777" w:rsidR="00C15184" w:rsidRPr="00FA3BFA" w:rsidRDefault="00000000">
      <w:commentRangeStart w:id="140"/>
      <w:commentRangeStart w:id="18"/>
      <w:pPr>
        <w:rPr>
          <w:rFonts w:cs="Times New Roman"/>
        </w:rPr>
      </w:pPr>
      <w:r w:rsidRPr="00FA3BFA">
        <w:rPr>
          <w:rFonts w:cs="Times New Roman"/>
          <w:color w:val="000000"/>
        </w:rPr>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commentRangeEnd w:id="18"/>
      <w:r w:rsidRPr="00FA3BFA">
        <w:rPr>
          <w:rFonts w:cs="Times New Roman"/>
          <w:color w:val="000000"/>
        </w:rPr>
        <w:commentReference w:id="18"/>
      </w:r>
      <w:commentRangeEnd w:id="140"/>
      <w:r w:rsidRPr="00FA3BFA">
        <w:rPr>
          <w:rFonts w:cs="Times New Roman"/>
          <w:color w:val="000000"/>
        </w:rPr>
        <w:commentReference w:id="140"/>
      </w:r>
    </w:p>
    <w:p w14:paraId="25BB5217" w14:textId="77777777" w:rsidR="00C15184" w:rsidRPr="00FA3BFA" w:rsidRDefault="00000000">
      <w:pPr>
        <w:rPr>
          <w:rFonts w:cs="Times New Roman"/>
        </w:rPr>
      </w:pPr>
      <w:r w:rsidRPr="00FA3BFA">
        <w:rPr>
          <w:rFonts w:cs="Times New Roman"/>
          <w:color w:val="000000"/>
        </w:rPr>
        <w:t>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study at 1.43, which is more surprising. It is scarce here, on 1.4% of checklists, and the regional herring literature does not nominate it.</w:t>
      </w:r>
    </w:p>
    <w:p w14:paraId="1E4911A0" w14:textId="77777777" w:rsidR="00C15184" w:rsidRPr="00FA3BFA" w:rsidRDefault="00000000">
      <w:pPr>
        <w:rPr>
          <w:rFonts w:cs="Times New Roman"/>
        </w:rPr>
      </w:pPr>
      <w:r w:rsidRPr="00FA3BFA">
        <w:rPr>
          <w:rFonts w:cs="Times New Roman"/>
          <w:color w:val="000000"/>
        </w:rPr>
        <w:t>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timing result gives weak support to the first, since the late peak belongs to the group and not to the scoters alone.</w:t>
      </w:r>
    </w:p>
    <w:p w14:paraId="7435F5B9" w14:textId="77777777" w:rsidR="00C15184" w:rsidRPr="00FA3BFA" w:rsidRDefault="00000000">
      <w:pPr>
        <w:pStyle w:val="Heading3"/>
        <w:rPr>
          <w:rFonts w:cs="Times New Roman"/>
        </w:rPr>
      </w:pPr>
      <w:r w:rsidRPr="00FA3BFA">
        <w:rPr>
          <w:rFonts w:cs="Times New Roman"/>
        </w:rPr>
        <w:t>Piscivores, Gulls and Raptors</w:t>
      </w:r>
    </w:p>
    <w:p w14:paraId="5520A8CD" w14:textId="77777777" w:rsidR="00C15184" w:rsidRPr="00FA3BFA" w:rsidRDefault="00000000">
      <w:pPr>
        <w:rPr>
          <w:rFonts w:cs="Times New Roman"/>
        </w:rPr>
      </w:pPr>
      <w:r w:rsidRPr="00FA3BFA">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60F89E35" w14:textId="77777777" w:rsidR="00C15184" w:rsidRPr="00FA3BFA" w:rsidRDefault="00000000">
      <w:pPr>
        <w:rPr>
          <w:rFonts w:cs="Times New Roman"/>
        </w:rPr>
      </w:pPr>
      <w:r w:rsidRPr="00FA3BFA">
        <w:rPr>
          <w:rFonts w:cs="Times New Roman"/>
        </w:rPr>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3CDA3A03" w14:textId="77777777" w:rsidR="00C15184" w:rsidRPr="00FA3BFA" w:rsidRDefault="00000000">
      <w:pPr>
        <w:rPr>
          <w:rFonts w:cs="Times New Roman"/>
        </w:rPr>
      </w:pPr>
      <w:r w:rsidRPr="00FA3BFA">
        <w:rPr>
          <w:rFonts w:cs="Times New Roman"/>
          <w:color w:val="000000"/>
        </w:rPr>
        <w:t xml:space="preserve">Gulls show the limits of community-science data as clearly as its strengths. A large feeding flock is conspicuous, it may draw observers and generate extra checklists, and a gull flock is far easier to report than to count. </w:t>
      </w:r>
      <w:del w:id="30013" w:author="Claude (editorial pass)" w:date="2026-07-26T00:00:00Z">
        <w:r w:rsidRPr="00FA3BFA">
          <w:rPr>
            <w:rFonts w:cs="Times New Roman"/>
            <w:color w:val="000000"/>
          </w:rPr>
          <w:delText xml:space="preserve">The internal structure of these results fits that concern. </w:delText>
        </w:r>
      </w:del>
      <w:r w:rsidRPr="00FA3BFA">
        <w:rPr>
          <w:rFonts w:cs="Times New Roman"/>
          <w:color w:val="000000"/>
        </w:rPr>
        <w:t xml:space="preserve">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1AF04801" w14:textId="77777777" w:rsidR="00C15184" w:rsidRPr="00FA3BFA" w:rsidRDefault="00000000">
      <w:pPr>
        <w:rPr>
          <w:rFonts w:cs="Times New Roman"/>
        </w:rPr>
      </w:pPr>
      <w:r w:rsidRPr="00FA3BFA">
        <w:rPr>
          <w:rFonts w:cs="Times New Roman"/>
        </w:rPr>
        <w:t>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F0709B6" w14:textId="77777777" w:rsidR="00BF0BAC" w:rsidRPr="00FA3BFA" w:rsidRDefault="00000000">
      <w:pPr>
        <w:rPr>
          <w:rFonts w:cs="Times New Roman"/>
        </w:rPr>
      </w:pPr>
      <w:r w:rsidRPr="00FA3BFA">
        <w:rPr>
          <w:rFonts w:cs="Times New Roman"/>
        </w:rPr>
        <w:t>At 2 km resolution, the eagle, robin and gull comparison narrows what observer behaviour can explain. Both waterbirds changed at the recorded event-date midpoint in the innermost band, and counts rose for each. The robin did not show an anchor spike under the same rule, which weighs against a general increase on all checklists close to recorded spawning points. Its reporting rose during the preceding week and its wider profile changed, so the control does not remove species-specific seasonality or every change in observer behaviour. The result is a localized waterbird pattern, not a causal distance threshold.</w:t>
      </w:r>
    </w:p>
    <w:p w14:paraId="1C0C3933" w14:textId="77777777" w:rsidR="00762553" w:rsidRPr="00FA3BFA" w:rsidRDefault="00000000">
      <w:pPr>
        <w:pStyle w:val="Heading3"/>
        <w:rPr>
          <w:rFonts w:cs="Times New Roman"/>
        </w:rPr>
      </w:pPr>
      <w:r w:rsidRPr="00FA3BFA">
        <w:rPr>
          <w:rFonts w:cs="Times New Roman"/>
        </w:rPr>
        <w:t xml:space="preserve">Expected Responders </w:t>
      </w:r>
      <w:r w:rsidRPr="00FA3BFA">
        <w:rPr>
          <w:rFonts w:cs="Times New Roman"/>
        </w:rPr>
        <w:t xml:space="preserve">That </w:t>
      </w:r>
      <w:r w:rsidRPr="00FA3BFA">
        <w:rPr>
          <w:rFonts w:cs="Times New Roman"/>
        </w:rPr>
        <w:t xml:space="preserve">Did </w:t>
      </w:r>
      <w:r w:rsidRPr="00FA3BFA">
        <w:rPr>
          <w:rFonts w:cs="Times New Roman"/>
        </w:rPr>
        <w:t xml:space="preserve">Not Respond</w:t>
      </w:r>
    </w:p>
    <w:p w14:paraId="1BFB2834" w14:textId="77777777" w:rsidR="00762553" w:rsidRPr="00FA3BFA" w:rsidRDefault="00000000">
      <w:pPr>
        <w:rPr>
          <w:rFonts w:cs="Times New Roman"/>
        </w:rPr>
      </w:pPr>
      <w:r w:rsidRPr="00FA3BFA">
        <w:rPr>
          <w:rFonts w:cs="Times New Roman"/>
        </w:rPr>
        <w:t>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0D422218" w14:textId="77777777" w:rsidR="00762553" w:rsidRPr="00FA3BFA" w:rsidRDefault="00000000">
      <w:pPr>
        <w:rPr>
          <w:rFonts w:cs="Times New Roman"/>
        </w:rPr>
      </w:pPr>
      <w:r w:rsidRPr="00FA3BFA">
        <w:rPr>
          <w:rFonts w:cs="Times New Roman"/>
        </w:rP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3D22A5F8" w14:textId="77777777" w:rsidR="00C15184" w:rsidRPr="00FA3BFA" w:rsidRDefault="00000000">
      <w:pPr>
        <w:pStyle w:val="Heading3"/>
        <w:rPr>
          <w:rFonts w:cs="Times New Roman"/>
        </w:rPr>
      </w:pPr>
      <w:r w:rsidRPr="00FA3BFA">
        <w:rPr>
          <w:rFonts w:cs="Times New Roman"/>
        </w:rPr>
        <w:t xml:space="preserve">Taxa Without </w:t>
      </w:r>
      <w:r w:rsidRPr="00FA3BFA">
        <w:rPr>
          <w:rFonts w:cs="Times New Roman"/>
        </w:rPr>
        <w:t xml:space="preserve">an Established </w:t>
      </w:r>
      <w:r w:rsidRPr="00FA3BFA">
        <w:rPr>
          <w:rFonts w:cs="Times New Roman"/>
        </w:rPr>
        <w:t xml:space="preserve">Herring </w:t>
      </w:r>
      <w:r w:rsidRPr="00FA3BFA">
        <w:rPr>
          <w:rFonts w:cs="Times New Roman"/>
        </w:rPr>
        <w:t xml:space="preserve">Association</w:t>
      </w:r>
    </w:p>
    <w:p w14:paraId="7545FE39" w14:textId="77777777" w:rsidR="00C15184" w:rsidRPr="00FA3BFA" w:rsidRDefault="00000000">
      <w:pPr>
        <w:rPr>
          <w:rFonts w:cs="Times New Roman"/>
        </w:rPr>
      </w:pPr>
      <w:r w:rsidRPr="00FA3BFA">
        <w:rPr>
          <w:rFonts w:cs="Times New Roman"/>
          <w:color w:val="000000"/>
        </w:rPr>
        <w:t>Positive results for American Wigeon, Northern Pintail, Mallard, Brant and, in the exploratory comparison, Northern Shoveler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1936B676" w14:textId="77777777" w:rsidR="00C15184" w:rsidRPr="00FA3BFA" w:rsidRDefault="00000000">
      <w:pPr>
        <w:rPr>
          <w:rFonts w:cs="Times New Roman"/>
        </w:rPr>
      </w:pPr>
      <w:r w:rsidRPr="00FA3BFA">
        <w:rPr>
          <w:rFonts w:cs="Times New Roman"/>
          <w:color w:val="000000"/>
        </w:rPr>
        <w:t xml:space="preserve">That leaves the comparators carrying less weight than expected, though not for the obvious reason. Gadwall and Northern Shoveler are the only birds here with no established herring association, and they split on significance and, once intervals are attached, on shape. Gadwall's profile is flat within its own uncertainty and neither of its baseline-referenced values differs from one, so it contributes nothing in either direction. Northern Shoveler climbs from baseline through late egg availability, exceeds one, and reaches its largest value in the late-egg window instead of during spawning. A gradient still rising four weeks after onset is what a seasonal process such as migration timing would produce, not what a two-week food pulse would produce. </w:t>
      </w:r>
      <w:r w:rsidRPr="00FA3BFA">
        <w:rPr>
          <w:rFonts w:cs="Times New Roman"/>
          <w:color w:val="000000"/>
        </w:rPr>
        <w:t xml:space="preserve">The </w:t>
      </w:r>
      <w:r w:rsidRPr="00FA3BFA">
        <w:rPr>
          <w:rFonts w:cs="Times New Roman"/>
          <w:color w:val="000000"/>
        </w:rPr>
        <w:t xml:space="preserve">pair </w:t>
      </w:r>
      <w:r w:rsidRPr="00FA3BFA">
        <w:rPr>
          <w:rFonts w:cs="Times New Roman"/>
          <w:color w:val="000000"/>
        </w:rPr>
        <w:t xml:space="preserve">therefore </w:t>
      </w:r>
      <w:r w:rsidRPr="00FA3BFA">
        <w:rPr>
          <w:rFonts w:cs="Times New Roman"/>
          <w:color w:val="000000"/>
        </w:rPr>
        <w:t xml:space="preserve">does not establish specificity, and </w:t>
      </w:r>
      <w:r w:rsidRPr="00FA3BFA">
        <w:rPr>
          <w:rFonts w:cs="Times New Roman"/>
          <w:color w:val="000000"/>
        </w:rPr>
        <w:t xml:space="preserve">it shows </w:t>
      </w:r>
      <w:r w:rsidRPr="00FA3BFA">
        <w:rPr>
          <w:rFonts w:cs="Times New Roman"/>
          <w:color w:val="000000"/>
        </w:rPr>
        <w:t xml:space="preserve">that a directional seasonal difference between near and far shorelines can arise in a bird with no herring </w:t>
      </w:r>
      <w:r w:rsidRPr="00FA3BFA">
        <w:rPr>
          <w:rFonts w:cs="Times New Roman"/>
          <w:color w:val="000000"/>
        </w:rPr>
        <w:t xml:space="preserve">link, though one species cannot </w:t>
      </w:r>
      <w:r w:rsidRPr="00FA3BFA">
        <w:rPr>
          <w:rFonts w:cs="Times New Roman"/>
          <w:color w:val="000000"/>
        </w:rPr>
        <w:t xml:space="preserve">say how common such structure </w:t>
      </w:r>
      <w:r w:rsidRPr="00FA3BFA">
        <w:rPr>
          <w:rFonts w:cs="Times New Roman"/>
          <w:color w:val="000000"/>
        </w:rPr>
        <w:t xml:space="preserve">is.</w:t>
      </w:r>
    </w:p>
    <w:p w14:paraId="63029A1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4.3 </w:t>
      </w:r>
      <w:r w:rsidRPr="00FA3BFA">
        <w:rPr>
          <w:rFonts w:ascii="Times New Roman" w:hAnsi="Times New Roman" w:cs="Times New Roman"/>
        </w:rPr>
        <w:t xml:space="preserve">Divergence Between the Count and Reporting Outcomes</w:t>
      </w:r>
    </w:p>
    <w:p w14:paraId="75DF5526" w14:textId="77777777" w:rsidR="00C15184" w:rsidRPr="00FA3BFA" w:rsidRDefault="00000000">
      <w:pPr>
        <w:rPr>
          <w:rFonts w:cs="Times New Roman"/>
        </w:rPr>
      </w:pPr>
      <w:r w:rsidRPr="00FA3BFA">
        <w:rPr>
          <w:rFonts w:cs="Times New Roman"/>
          <w:color w:val="000000"/>
        </w:rPr>
        <w:t xml:space="preserve">Reporting and counting sit at different stages of the same </w:t>
      </w:r>
      <w:r w:rsidRPr="00FA3BFA">
        <w:rPr>
          <w:rFonts w:cs="Times New Roman"/>
          <w:color w:val="000000"/>
        </w:rPr>
        <w:t xml:space="preserve">process, since reporting </w:t>
      </w:r>
      <w:r w:rsidRPr="00FA3BFA">
        <w:rPr>
          <w:rFonts w:cs="Times New Roman"/>
          <w:color w:val="000000"/>
        </w:rPr>
        <w:t xml:space="preserve">needs a bird to be present, available, detected, identified and written </w:t>
      </w:r>
      <w:r w:rsidRPr="00FA3BFA">
        <w:rPr>
          <w:rFonts w:cs="Times New Roman"/>
          <w:color w:val="000000"/>
        </w:rPr>
        <w:t xml:space="preserve">down, whereas the </w:t>
      </w:r>
      <w:r w:rsidRPr="00FA3BFA">
        <w:rPr>
          <w:rFonts w:cs="Times New Roman"/>
          <w:color w:val="000000"/>
        </w:rPr>
        <w:t xml:space="preserve">count model starts after all of </w:t>
      </w:r>
      <w:r w:rsidRPr="00FA3BFA">
        <w:rPr>
          <w:rFonts w:cs="Times New Roman"/>
          <w:color w:val="000000"/>
        </w:rPr>
        <w:t xml:space="preserve">that </w:t>
      </w:r>
      <w:r w:rsidRPr="00FA3BFA">
        <w:rPr>
          <w:rFonts w:cs="Times New Roman"/>
          <w:color w:val="000000"/>
        </w:rPr>
        <w:t xml:space="preserve">and only when the observer supplied a number. A species can therefore turn up in larger flocks without appearing on more checklists, as Surf Scoter did, or the reverse. That ordering matters for the outcome carrying the main </w:t>
      </w:r>
      <w:r w:rsidRPr="00FA3BFA">
        <w:rPr>
          <w:rFonts w:cs="Times New Roman"/>
          <w:color w:val="000000"/>
        </w:rPr>
        <w:t xml:space="preserve">conclusion, because counts </w:t>
      </w:r>
      <w:r w:rsidRPr="00FA3BFA">
        <w:rPr>
          <w:rFonts w:cs="Times New Roman"/>
          <w:color w:val="000000"/>
        </w:rPr>
        <w:t xml:space="preserve">are measured among records that were made and quantified, and reporting itself rose for 13 species, so for those species the checklists contributing counts after </w:t>
      </w:r>
      <w:r w:rsidRPr="00FA3BFA">
        <w:rPr>
          <w:rFonts w:cs="Times New Roman"/>
          <w:color w:val="000000"/>
        </w:rPr>
        <w:t xml:space="preserve">the event date </w:t>
      </w:r>
      <w:r w:rsidRPr="00FA3BFA">
        <w:rPr>
          <w:rFonts w:cs="Times New Roman"/>
          <w:color w:val="000000"/>
        </w:rPr>
        <w:t xml:space="preserve">are not the set that would have contributed before. Part of the count increase may therefore describe which checklists carried a number </w:t>
      </w:r>
      <w:r w:rsidRPr="00FA3BFA">
        <w:rPr>
          <w:rFonts w:cs="Times New Roman"/>
          <w:color w:val="000000"/>
        </w:rPr>
        <w:t xml:space="preserve">rather than </w:t>
      </w:r>
      <w:r w:rsidRPr="00FA3BFA">
        <w:rPr>
          <w:rFonts w:cs="Times New Roman"/>
          <w:color w:val="000000"/>
        </w:rPr>
        <w:t xml:space="preserve">how many birds were on them. The concern is weakest where reporting did not move, and Surf Scoter, flat in reporting and up 1.30 in counts, is the clearest such </w:t>
      </w:r>
      <w:r w:rsidRPr="00FA3BFA">
        <w:rPr>
          <w:rFonts w:cs="Times New Roman"/>
          <w:color w:val="000000"/>
        </w:rPr>
        <w:t xml:space="preserve">case, while for species in which </w:t>
      </w:r>
      <w:r w:rsidRPr="00FA3BFA">
        <w:rPr>
          <w:rFonts w:cs="Times New Roman"/>
          <w:color w:val="000000"/>
        </w:rPr>
        <w:t xml:space="preserve">both </w:t>
      </w:r>
      <w:r w:rsidRPr="00FA3BFA">
        <w:rPr>
          <w:rFonts w:cs="Times New Roman"/>
          <w:color w:val="000000"/>
        </w:rPr>
        <w:t xml:space="preserve">outcomes moved </w:t>
      </w:r>
      <w:r w:rsidRPr="00FA3BFA">
        <w:rPr>
          <w:rFonts w:cs="Times New Roman"/>
          <w:color w:val="000000"/>
        </w:rPr>
        <w:t xml:space="preserve">the direction of the bias is unknown.</w:t>
      </w:r>
    </w:p>
    <w:p w14:paraId="13D2945C" w14:textId="77777777" w:rsidR="00C15184" w:rsidRPr="00FA3BFA" w:rsidRDefault="00000000">
      <w:pPr>
        <w:rPr>
          <w:rFonts w:cs="Times New Roman"/>
        </w:rPr>
      </w:pPr>
      <w:r w:rsidRPr="00FA3BFA">
        <w:rPr>
          <w:rFonts w:cs="Times New Roman"/>
          <w:color w:val="000000"/>
        </w:rPr>
        <w:t xml:space="preserve">Switching to </w:t>
      </w:r>
      <w:r w:rsidRPr="00FA3BFA">
        <w:rPr>
          <w:rFonts w:cs="Times New Roman"/>
          <w:color w:val="000000"/>
        </w:rPr>
        <w:t xml:space="preserve">nearest-event </w:t>
      </w:r>
      <w:r w:rsidRPr="00FA3BFA">
        <w:rPr>
          <w:rFonts w:cs="Times New Roman"/>
          <w:color w:val="000000"/>
        </w:rPr>
        <w:t xml:space="preserve">assignment overturned </w:t>
      </w:r>
      <w:r w:rsidRPr="00FA3BFA">
        <w:rPr>
          <w:rFonts w:cs="Times New Roman"/>
          <w:color w:val="000000"/>
        </w:rPr>
        <w:t xml:space="preserve">more reporting conclusions than count conclusions. One reading is that flock size at a heavily used site is a more concentrated signal than the line between reporting and not reporting across a varied coastline, while another is that reporting odds are simply more sensitive to how overlapping event footprints are assigned. </w:t>
      </w:r>
      <w:r w:rsidRPr="00FA3BFA">
        <w:rPr>
          <w:rFonts w:cs="Times New Roman"/>
          <w:color w:val="000000"/>
        </w:rPr>
        <w:t xml:space="preserve">These data </w:t>
      </w:r>
      <w:r w:rsidRPr="00FA3BFA">
        <w:rPr>
          <w:rFonts w:cs="Times New Roman"/>
          <w:color w:val="000000"/>
        </w:rPr>
        <w:t xml:space="preserve">cannot say which dominates, </w:t>
      </w:r>
      <w:r w:rsidRPr="00FA3BFA">
        <w:rPr>
          <w:rFonts w:cs="Times New Roman"/>
          <w:color w:val="000000"/>
        </w:rPr>
        <w:t xml:space="preserve">but they do </w:t>
      </w:r>
      <w:r w:rsidRPr="00FA3BFA">
        <w:rPr>
          <w:rFonts w:cs="Times New Roman"/>
          <w:color w:val="000000"/>
        </w:rPr>
        <w:t xml:space="preserve">mark </w:t>
      </w:r>
      <w:r w:rsidRPr="00FA3BFA">
        <w:rPr>
          <w:rFonts w:cs="Times New Roman"/>
          <w:color w:val="000000"/>
        </w:rPr>
        <w:t xml:space="preserve">the species whose results should be quoted carefully.</w:t>
      </w:r>
    </w:p>
    <w:p w14:paraId="10924326" w14:textId="77777777" w:rsidR="00C15184" w:rsidRPr="00FA3BFA" w:rsidRDefault="00000000">
      <w:pPr>
        <w:rPr>
          <w:rFonts w:cs="Times New Roman"/>
        </w:rPr>
      </w:pPr>
      <w:r w:rsidRPr="00FA3BFA">
        <w:rPr>
          <w:rFonts w:cs="Times New Roman"/>
          <w:color w:val="000000"/>
        </w:rPr>
        <w:t xml:space="preserve">An entry of X adds a third </w:t>
      </w:r>
      <w:r w:rsidRPr="00FA3BFA">
        <w:rPr>
          <w:rFonts w:cs="Times New Roman"/>
          <w:color w:val="000000"/>
        </w:rPr>
        <w:t xml:space="preserve">stage, because observers </w:t>
      </w:r>
      <w:r w:rsidRPr="00FA3BFA">
        <w:rPr>
          <w:rFonts w:cs="Times New Roman"/>
          <w:color w:val="000000"/>
        </w:rPr>
        <w:t xml:space="preserve">may write X when a flock is large, distant, mobile, mixed or simply not counted. There was no family-wide shift in that habit around spawning, which is mildly reassuring, but 30 of 41 of those fits were singular and the check has little power. It would be wrong to conclude that excluding X records makes the count estimates </w:t>
      </w:r>
      <w:r w:rsidRPr="00FA3BFA">
        <w:rPr>
          <w:rFonts w:cs="Times New Roman"/>
          <w:color w:val="000000"/>
        </w:rPr>
        <w:t xml:space="preserve">conservative, since if </w:t>
      </w:r>
      <w:r w:rsidRPr="00FA3BFA">
        <w:rPr>
          <w:rFonts w:cs="Times New Roman"/>
          <w:color w:val="000000"/>
        </w:rPr>
        <w:t xml:space="preserve">observers write X more often when a flock is </w:t>
      </w:r>
      <w:r w:rsidRPr="00FA3BFA">
        <w:rPr>
          <w:rFonts w:cs="Times New Roman"/>
          <w:color w:val="000000"/>
        </w:rPr>
        <w:t xml:space="preserve">large then </w:t>
      </w:r>
      <w:r w:rsidRPr="00FA3BFA">
        <w:rPr>
          <w:rFonts w:cs="Times New Roman"/>
          <w:color w:val="000000"/>
        </w:rPr>
        <w:t xml:space="preserve">the counted subset systematically misses the biggest groups, and misses them most often when the birds are most concentrated, which would pull the count estimates down. If X instead marks distant or hard-to-identify birds, the omission has no particular relationship to flock </w:t>
      </w:r>
      <w:r w:rsidRPr="00FA3BFA">
        <w:rPr>
          <w:rFonts w:cs="Times New Roman"/>
          <w:color w:val="000000"/>
        </w:rPr>
        <w:t xml:space="preserve">size, and these </w:t>
      </w:r>
      <w:r w:rsidRPr="00FA3BFA">
        <w:rPr>
          <w:rFonts w:cs="Times New Roman"/>
          <w:color w:val="000000"/>
        </w:rPr>
        <w:t xml:space="preserve">data cannot separate </w:t>
      </w:r>
      <w:r w:rsidRPr="00FA3BFA">
        <w:rPr>
          <w:rFonts w:cs="Times New Roman"/>
          <w:color w:val="000000"/>
        </w:rPr>
        <w:t xml:space="preserve">the two </w:t>
      </w:r>
      <w:r w:rsidRPr="00FA3BFA">
        <w:rPr>
          <w:rFonts w:cs="Times New Roman"/>
          <w:color w:val="000000"/>
        </w:rPr>
        <w:t xml:space="preserve">cases.</w:t>
      </w:r>
    </w:p>
    <w:p w14:paraId="5626C55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4.4 </w:t>
      </w:r>
      <w:r w:rsidRPr="00FA3BFA">
        <w:rPr>
          <w:rFonts w:ascii="Times New Roman" w:hAnsi="Times New Roman" w:cs="Times New Roman"/>
        </w:rPr>
        <w:t xml:space="preserve">Strengths and Limitations</w:t>
      </w:r>
    </w:p>
    <w:p w14:paraId="286DB82E" w14:textId="77777777" w:rsidR="00C15184" w:rsidRPr="00FA3BFA" w:rsidRDefault="00000000">
      <w:pPr>
        <w:rPr>
          <w:rFonts w:cs="Times New Roman"/>
        </w:rPr>
      </w:pPr>
      <w:del w:id="30014" w:author="Claude (editorial pass)" w:date="2026-07-26T00:00:00Z">
        <w:r w:rsidRPr="00FA3BFA">
          <w:rPr>
            <w:rFonts w:cs="Times New Roman"/>
            <w:color w:val="000000"/>
          </w:rPr>
          <w:delText xml:space="preserve">This design earns its keep by how it frames </w:delText>
        </w:r>
      </w:del>
      <w:ins w:id="30015" w:author="Claude (editorial pass)" w:date="2026-07-26T00:00:00Z">
        <w:r w:rsidRPr="00FA3BFA">
          <w:rPr>
            <w:rFonts w:cs="Times New Roman"/>
            <w:color w:val="000000"/>
          </w:rPr>
          <w:t xml:space="preserve">Framing </w:t>
        </w:r>
      </w:ins>
      <w:r w:rsidRPr="00FA3BFA">
        <w:rPr>
          <w:rFonts w:cs="Times New Roman"/>
          <w:color w:val="000000"/>
        </w:rPr>
        <w:t xml:space="preserve">the comparison in </w:t>
      </w:r>
      <w:ins w:id="30016" w:author="Claude (editorial pass)" w:date="2026-07-26T00:00:00Z">
        <w:r w:rsidRPr="00FA3BFA">
          <w:rPr>
            <w:rFonts w:cs="Times New Roman"/>
            <w:color w:val="000000"/>
          </w:rPr>
          <w:t xml:space="preserve">both </w:t>
        </w:r>
      </w:ins>
      <w:r w:rsidRPr="00FA3BFA">
        <w:rPr>
          <w:rFonts w:cs="Times New Roman"/>
          <w:color w:val="000000"/>
        </w:rPr>
        <w:t xml:space="preserve">space and </w:t>
      </w:r>
      <w:del w:id="30017" w:author="Claude (editorial pass)" w:date="2026-07-26T00:00:00Z">
        <w:r w:rsidRPr="00FA3BFA">
          <w:rPr>
            <w:rFonts w:cs="Times New Roman"/>
            <w:color w:val="000000"/>
          </w:rPr>
          <w:delText xml:space="preserve">time. </w:delText>
        </w:r>
      </w:del>
      <w:ins w:id="30018" w:author="Claude (editorial pass)" w:date="2026-07-26T00:00:00Z">
        <w:r w:rsidRPr="00FA3BFA">
          <w:rPr>
            <w:rFonts w:cs="Times New Roman"/>
            <w:color w:val="000000"/>
          </w:rPr>
          <w:t xml:space="preserve">time is what keeps two confounds out of it. </w:t>
        </w:r>
      </w:ins>
      <w:r w:rsidRPr="00FA3BFA">
        <w:rPr>
          <w:rFonts w:cs="Times New Roman"/>
          <w:color w:val="000000"/>
        </w:rPr>
        <w:t xml:space="preserve">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43F962E" w14:textId="77777777" w:rsidR="00C15184" w:rsidRPr="00FA3BFA" w:rsidRDefault="00000000">
      <w:pPr>
        <w:rPr>
          <w:rFonts w:cs="Times New Roman"/>
        </w:rPr>
      </w:pPr>
      <w:r w:rsidRPr="00FA3BFA">
        <w:rPr>
          <w:rFonts w:cs="Times New Roman"/>
        </w:rPr>
        <w:t>Two limitations bear on these results. First,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species-level tallies and not a test of one community-wide mean, since species share checklists, events, observers and locations. Second, the design cannot say what changed. More birds recorded near a spawn may mean that birds arrived, that birds already there gathered, or that observers looked harder and counted more carefully. Nothing here observes diet, individual movement, energetic benefit or breeding consequence.</w:t>
      </w:r>
    </w:p>
    <w:p w14:paraId="6671118A" w14:textId="77777777" w:rsidR="00C15184" w:rsidRPr="00FA3BFA" w:rsidRDefault="00000000">
      <w:pPr>
        <w:rPr>
          <w:rFonts w:cs="Times New Roman"/>
        </w:rPr>
      </w:pPr>
      <w:r w:rsidRPr="00FA3BFA">
        <w:rPr>
          <w:rFonts w:cs="Times New Roman"/>
          <w:color w:val="000000"/>
        </w:rPr>
        <w:t>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1ABAC921" w14:textId="77777777" w:rsidR="00C15184" w:rsidRPr="00FA3BFA" w:rsidRDefault="00000000">
      <w:pPr>
        <w:rPr>
          <w:rFonts w:cs="Times New Roman"/>
        </w:rPr>
      </w:pPr>
      <w:r w:rsidRPr="00FA3BFA">
        <w:rPr>
          <w:rFonts w:cs="Times New Roman"/>
        </w:rPr>
        <w:t>Measurement and coverage are approximate in ways the covariates only partly absorb. Distances ran from checklist points to recorded event points, not from travelling routes to a real spawning footprint, and a point with an event-date anchor cannot describe the extent, duration, depth or intensity of eggs and fish. The 5 km and 20 km bounds were set by judgement for the primary 49-species analysis, and the 5 to 20 km reference band is not a spawn-free control. With 1,120 recorded events in a semi-enclosed sea, many reference links fall within the daily range of eagles, gulls and mergansers. A response in the reference zone would pull the comparison toward one. Shoreline access, visibility, weather, weekends and conspicuous flocks all affect whether a checklist is submitted, and neither day of year nor time of day reached the models, so seasonal balance between the zones and daily variation in detectability are unaddressed. At 2 km resolution, Bald Eagle and Glaucous-winged Gull already rose at the anchor within the innermost band despite pre-anchor spatial structure, so the 5 km near bound dilutes that local signal instead of creating it.</w:t>
      </w:r>
    </w:p>
    <w:p w14:paraId="0AC2C358"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4.5 Implications and </w:t>
      </w:r>
      <w:r w:rsidRPr="00FA3BFA">
        <w:rPr>
          <w:rFonts w:ascii="Times New Roman" w:hAnsi="Times New Roman" w:cs="Times New Roman"/>
        </w:rPr>
        <w:t xml:space="preserve">Future Work</w:t>
      </w:r>
    </w:p>
    <w:p w14:paraId="6CCCBDF7" w14:textId="77777777" w:rsidR="00C15184" w:rsidRPr="00FA3BFA" w:rsidRDefault="00000000">
      <w:pPr>
        <w:rPr>
          <w:rFonts w:cs="Times New Roman"/>
        </w:rPr>
      </w:pPr>
      <w:del w:id="30019" w:author="Claude (editorial pass)" w:date="2026-07-26T00:00:00Z">
        <w:r w:rsidRPr="00FA3BFA">
          <w:rPr>
            <w:rFonts w:cs="Times New Roman"/>
            <w:color w:val="000000"/>
          </w:rPr>
          <w:delText xml:space="preserve">What this analysis provides is a map </w:delText>
        </w:r>
      </w:del>
      <w:ins w:id="30020" w:author="Claude (editorial pass)" w:date="2026-07-26T00:00:00Z">
        <w:r w:rsidRPr="00FA3BFA">
          <w:rPr>
            <w:rFonts w:cs="Times New Roman"/>
            <w:color w:val="000000"/>
          </w:rPr>
          <w:t xml:space="preserve">Each </w:t>
        </w:r>
      </w:ins>
      <w:r w:rsidRPr="00FA3BFA">
        <w:rPr>
          <w:rFonts w:cs="Times New Roman"/>
          <w:color w:val="000000"/>
        </w:rPr>
        <w:t xml:space="preserve">of </w:t>
      </w:r>
      <w:del w:id="30021" w:author="Claude (editorial pass)" w:date="2026-07-26T00:00:00Z">
        <w:r w:rsidRPr="00FA3BFA">
          <w:rPr>
            <w:rFonts w:cs="Times New Roman"/>
            <w:color w:val="000000"/>
          </w:rPr>
          <w:delText xml:space="preserve">where to look. The </w:delText>
        </w:r>
      </w:del>
      <w:ins w:id="30022" w:author="Claude (editorial pass)" w:date="2026-07-26T00:00:00Z">
        <w:r w:rsidRPr="00FA3BFA">
          <w:rPr>
            <w:rFonts w:cs="Times New Roman"/>
            <w:color w:val="000000"/>
          </w:rPr>
          <w:t xml:space="preserve">the </w:t>
        </w:r>
      </w:ins>
      <w:r w:rsidRPr="00FA3BFA">
        <w:rPr>
          <w:rFonts w:cs="Times New Roman"/>
          <w:color w:val="000000"/>
        </w:rPr>
        <w:t xml:space="preserve">strongest candidates </w:t>
      </w:r>
      <w:del w:id="30023" w:author="Claude (editorial pass)" w:date="2026-07-26T00:00:00Z">
        <w:r w:rsidRPr="00FA3BFA">
          <w:rPr>
            <w:rFonts w:cs="Times New Roman"/>
            <w:color w:val="000000"/>
          </w:rPr>
          <w:delText xml:space="preserve">differ </w:delText>
        </w:r>
      </w:del>
      <w:ins w:id="30024" w:author="Claude (editorial pass)" w:date="2026-07-26T00:00:00Z">
        <w:r w:rsidRPr="00FA3BFA">
          <w:rPr>
            <w:rFonts w:cs="Times New Roman"/>
            <w:color w:val="000000"/>
          </w:rPr>
          <w:t xml:space="preserve">differs </w:t>
        </w:r>
      </w:ins>
      <w:r w:rsidRPr="00FA3BFA">
        <w:rPr>
          <w:rFonts w:cs="Times New Roman"/>
          <w:color w:val="000000"/>
        </w:rPr>
        <w:t xml:space="preserve">in timing and in which outcome moved, so </w:t>
      </w:r>
      <w:del w:id="30025" w:author="Claude (editorial pass)" w:date="2026-07-26T00:00:00Z">
        <w:r w:rsidRPr="00FA3BFA">
          <w:rPr>
            <w:rFonts w:cs="Times New Roman"/>
            <w:color w:val="000000"/>
          </w:rPr>
          <w:delText xml:space="preserve">they call </w:delText>
        </w:r>
      </w:del>
      <w:ins w:id="30026" w:author="Claude (editorial pass)" w:date="2026-07-26T00:00:00Z">
        <w:r w:rsidRPr="00FA3BFA">
          <w:rPr>
            <w:rFonts w:cs="Times New Roman"/>
            <w:color w:val="000000"/>
          </w:rPr>
          <w:t xml:space="preserve">each calls </w:t>
        </w:r>
      </w:ins>
      <w:r w:rsidRPr="00FA3BFA">
        <w:rPr>
          <w:rFonts w:cs="Times New Roman"/>
          <w:color w:val="000000"/>
        </w:rPr>
        <w:t xml:space="preserve">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05A09303" w14:textId="77777777" w:rsidR="00C15184" w:rsidRPr="00FA3BFA" w:rsidRDefault="00000000">
      <w:pPr>
        <w:rPr>
          <w:rFonts w:cs="Times New Roman"/>
        </w:rPr>
      </w:pPr>
      <w:r w:rsidRPr="00FA3BFA">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7C348B50" w14:textId="77777777" w:rsidR="00762553" w:rsidRPr="00FA3BFA" w:rsidRDefault="00000000">
      <w:pPr>
        <w:rPr>
          <w:rFonts w:cs="Times New Roman"/>
        </w:rPr>
      </w:pPr>
      <w:r w:rsidRPr="00FA3BFA">
        <w:rPr>
          <w:rFonts w:cs="Times New Roman"/>
        </w:rPr>
        <w:t xml:space="preserve">Three analytical extensions would change how much weight this design can bear. Intervals that account for dependence among the 58 event blocks would show whether the counts of 13 and 18 are stable. </w:t>
      </w:r>
      <w:r w:rsidRPr="00FA3BFA">
        <w:rPr>
          <w:rFonts w:cs="Times New Roman"/>
        </w:rPr>
        <w:t xml:space="preserve">Letting the </w:t>
      </w:r>
      <w:r w:rsidRPr="00FA3BFA">
        <w:rPr>
          <w:rFonts w:cs="Times New Roman"/>
        </w:rPr>
        <w:t xml:space="preserve">response to link count </w:t>
      </w:r>
      <w:r w:rsidRPr="00FA3BFA">
        <w:rPr>
          <w:rFonts w:cs="Times New Roman"/>
        </w:rPr>
        <w:t xml:space="preserve">curve </w:t>
      </w:r>
      <w:r w:rsidRPr="00FA3BFA">
        <w:rPr>
          <w:rFonts w:cs="Times New Roman"/>
        </w:rPr>
        <w:t xml:space="preserve">would show whether the </w:t>
      </w:r>
      <w:r w:rsidRPr="00FA3BFA">
        <w:rPr>
          <w:rFonts w:cs="Times New Roman"/>
        </w:rPr>
        <w:t xml:space="preserve">quantity </w:t>
      </w:r>
      <w:r w:rsidRPr="00FA3BFA">
        <w:rPr>
          <w:rFonts w:cs="Times New Roman"/>
        </w:rPr>
        <w:t xml:space="preserve">means the same thing for </w:t>
      </w:r>
      <w:r w:rsidRPr="00FA3BFA">
        <w:rPr>
          <w:rFonts w:cs="Times New Roman"/>
        </w:rPr>
        <w:t xml:space="preserve">species whose checklists carry different numbers of links, which matters because between 29% and 44% of exposed checklists carry two or more. Extending the 2 km distance-band analysis beyond Bald Eagle and Glaucous-winged Gull would show whether the same spatial concentration is shared across the 49 species. All three are computationally substantial at this scale.</w:t>
      </w:r>
    </w:p>
    <w:p w14:paraId="06D1893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5 Conclusion</w:t>
      </w:r>
    </w:p>
    <w:p w14:paraId="2F8A5801" w14:textId="77777777" w:rsidR="00C15184" w:rsidRPr="00FA3BFA" w:rsidRDefault="00000000">
      <w:pPr>
        <w:rPr>
          <w:rFonts w:cs="Times New Roman"/>
        </w:rPr>
      </w:pPr>
      <w:r w:rsidRPr="00FA3BFA">
        <w:rPr>
          <w:rFonts w:cs="Times New Roman"/>
          <w:color w:val="000000"/>
        </w:rPr>
        <w:t xml:space="preserve">Herring spawning changed what observers of these </w:t>
      </w:r>
      <w:r w:rsidRPr="00FA3BFA">
        <w:rPr>
          <w:rFonts w:cs="Times New Roman"/>
          <w:color w:val="000000"/>
        </w:rPr>
        <w:t xml:space="preserve">49 coastal </w:t>
      </w:r>
      <w:r w:rsidRPr="00FA3BFA">
        <w:rPr>
          <w:rFonts w:cs="Times New Roman"/>
          <w:color w:val="000000"/>
        </w:rPr>
        <w:t xml:space="preserve">birds wrote down, </w:t>
      </w:r>
      <w:r w:rsidRPr="00FA3BFA">
        <w:rPr>
          <w:rFonts w:cs="Times New Roman"/>
          <w:color w:val="000000"/>
        </w:rPr>
        <w:t xml:space="preserve">in both </w:t>
      </w:r>
      <w:r w:rsidRPr="00FA3BFA">
        <w:rPr>
          <w:rFonts w:cs="Times New Roman"/>
          <w:color w:val="000000"/>
        </w:rPr>
        <w:t xml:space="preserve">which species they listed </w:t>
      </w:r>
      <w:r w:rsidRPr="00FA3BFA">
        <w:rPr>
          <w:rFonts w:cs="Times New Roman"/>
          <w:color w:val="000000"/>
        </w:rPr>
        <w:t xml:space="preserve">and </w:t>
      </w:r>
      <w:r w:rsidRPr="00FA3BFA">
        <w:rPr>
          <w:rFonts w:cs="Times New Roman"/>
          <w:color w:val="000000"/>
        </w:rPr>
        <w:t xml:space="preserve">how many </w:t>
      </w:r>
      <w:r w:rsidRPr="00FA3BFA">
        <w:rPr>
          <w:rFonts w:cs="Times New Roman"/>
          <w:color w:val="000000"/>
        </w:rPr>
        <w:t xml:space="preserve">they counted. The stronger and more consistent signal was in the counts: 18 species were counted in larger numbers after correction for multiple testing, and all 18 kept their direction, with 17 still significant, </w:t>
      </w:r>
      <w:r w:rsidRPr="00FA3BFA">
        <w:rPr>
          <w:rFonts w:cs="Times New Roman"/>
          <w:color w:val="000000"/>
        </w:rPr>
        <w:t xml:space="preserve">whether each checklist was tied to its nearest event </w:t>
      </w:r>
      <w:r w:rsidRPr="00FA3BFA">
        <w:rPr>
          <w:rFonts w:cs="Times New Roman"/>
          <w:color w:val="000000"/>
        </w:rPr>
        <w:t xml:space="preserve">or </w:t>
      </w:r>
      <w:r w:rsidRPr="00FA3BFA">
        <w:rPr>
          <w:rFonts w:cs="Times New Roman"/>
          <w:color w:val="000000"/>
        </w:rPr>
        <w:t xml:space="preserve">simply marked as near one or not. </w:t>
      </w:r>
      <w:r w:rsidRPr="00FA3BFA">
        <w:rPr>
          <w:rFonts w:cs="Times New Roman"/>
          <w:color w:val="000000"/>
        </w:rPr>
        <w:t xml:space="preserve">Reporting changes were </w:t>
      </w:r>
      <w:r w:rsidRPr="00FA3BFA">
        <w:rPr>
          <w:rFonts w:cs="Times New Roman"/>
          <w:color w:val="000000"/>
        </w:rPr>
        <w:t xml:space="preserve">narrower, </w:t>
      </w:r>
      <w:r w:rsidRPr="00FA3BFA">
        <w:rPr>
          <w:rFonts w:cs="Times New Roman"/>
          <w:color w:val="000000"/>
        </w:rPr>
        <w:t xml:space="preserve">more sensitive to that </w:t>
      </w:r>
      <w:r w:rsidRPr="00FA3BFA">
        <w:rPr>
          <w:rFonts w:cs="Times New Roman"/>
          <w:color w:val="000000"/>
        </w:rPr>
        <w:t xml:space="preserve">choice, </w:t>
      </w:r>
      <w:r w:rsidRPr="00FA3BFA">
        <w:rPr>
          <w:rFonts w:cs="Times New Roman"/>
          <w:color w:val="000000"/>
        </w:rPr>
        <w:t xml:space="preserve">and concentrated in gulls. Timing separated the feeding groups in both outcomes, </w:t>
      </w:r>
      <w:r w:rsidRPr="00FA3BFA">
        <w:rPr>
          <w:rFonts w:cs="Times New Roman"/>
          <w:color w:val="000000"/>
        </w:rPr>
        <w:t xml:space="preserve">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695EE159" w14:textId="77777777" w:rsidR="00C15184" w:rsidRPr="00FA3BFA" w:rsidRDefault="00000000">
      <w:pPr>
        <w:rPr>
          <w:rFonts w:cs="Times New Roman"/>
        </w:rPr>
      </w:pPr>
      <w:r w:rsidRPr="00FA3BFA">
        <w:rPr>
          <w:rFonts w:cs="Times New Roman"/>
          <w:color w:val="000000"/>
        </w:rPr>
        <w:t xml:space="preserve">These results fit local aggregation and several routes into a herring-spawning food web. They are not specific evidence of herring consumption or of herring-induced movement. Habitat, migration, shoreline access, </w:t>
      </w:r>
      <w:r w:rsidRPr="00FA3BFA">
        <w:rPr>
          <w:rFonts w:cs="Times New Roman"/>
          <w:color w:val="000000"/>
        </w:rPr>
        <w:t xml:space="preserve">the encoding of overlapping </w:t>
      </w:r>
      <w:r w:rsidRPr="00FA3BFA">
        <w:rPr>
          <w:rFonts w:cs="Times New Roman"/>
          <w:color w:val="000000"/>
        </w:rPr>
        <w:t xml:space="preserve">events </w:t>
      </w:r>
      <w:r w:rsidRPr="00FA3BFA">
        <w:rPr>
          <w:rFonts w:cs="Times New Roman"/>
          <w:color w:val="000000"/>
        </w:rPr>
        <w:t xml:space="preserve">and observer behaviour </w:t>
      </w:r>
      <w:r w:rsidRPr="00FA3BFA">
        <w:rPr>
          <w:rFonts w:cs="Times New Roman"/>
          <w:color w:val="000000"/>
        </w:rPr>
        <w:t xml:space="preserve">could </w:t>
      </w:r>
      <w:r w:rsidRPr="00FA3BFA">
        <w:rPr>
          <w:rFonts w:cs="Times New Roman"/>
          <w:color w:val="000000"/>
        </w:rPr>
        <w:t xml:space="preserve">all </w:t>
      </w:r>
      <w:r w:rsidRPr="00FA3BFA">
        <w:rPr>
          <w:rFonts w:cs="Times New Roman"/>
          <w:color w:val="000000"/>
        </w:rPr>
        <w:t xml:space="preserve">contribute, </w:t>
      </w:r>
      <w:r w:rsidRPr="00FA3BFA">
        <w:rPr>
          <w:rFonts w:cs="Times New Roman"/>
          <w:color w:val="000000"/>
        </w:rPr>
        <w:t xml:space="preserve">and the </w:t>
      </w:r>
      <w:r w:rsidRPr="00FA3BFA">
        <w:rPr>
          <w:rFonts w:cs="Times New Roman"/>
          <w:color w:val="000000"/>
        </w:rPr>
        <w:t xml:space="preserve">dabbling ducks </w:t>
      </w:r>
      <w:r w:rsidRPr="00FA3BFA">
        <w:rPr>
          <w:rFonts w:cs="Times New Roman"/>
          <w:color w:val="000000"/>
        </w:rPr>
        <w:t xml:space="preserve">show that some </w:t>
      </w:r>
      <w:r w:rsidRPr="00FA3BFA">
        <w:rPr>
          <w:rFonts w:cs="Times New Roman"/>
          <w:color w:val="000000"/>
        </w:rPr>
        <w:t xml:space="preserve">of that </w:t>
      </w:r>
      <w:r w:rsidRPr="00FA3BFA">
        <w:rPr>
          <w:rFonts w:cs="Times New Roman"/>
          <w:color w:val="000000"/>
        </w:rPr>
        <w:t xml:space="preserve">structure survives the design. What </w:t>
      </w:r>
      <w:r w:rsidRPr="00FA3BFA">
        <w:rPr>
          <w:rFonts w:cs="Times New Roman"/>
          <w:color w:val="000000"/>
        </w:rPr>
        <w:t xml:space="preserve">the </w:t>
      </w:r>
      <w:r w:rsidRPr="00FA3BFA">
        <w:rPr>
          <w:rFonts w:cs="Times New Roman"/>
          <w:color w:val="000000"/>
        </w:rPr>
        <w:t xml:space="preserve">study offers is </w:t>
      </w:r>
      <w:r w:rsidRPr="00FA3BFA">
        <w:rPr>
          <w:rFonts w:cs="Times New Roman"/>
          <w:color w:val="000000"/>
        </w:rPr>
        <w:t xml:space="preserve">two decades </w:t>
      </w:r>
      <w:r w:rsidRPr="00FA3BFA">
        <w:rPr>
          <w:rFonts w:cs="Times New Roman"/>
          <w:color w:val="000000"/>
        </w:rPr>
        <w:t xml:space="preserve">of what observers </w:t>
      </w:r>
      <w:r w:rsidRPr="00FA3BFA">
        <w:rPr>
          <w:rFonts w:cs="Times New Roman"/>
          <w:color w:val="000000"/>
        </w:rPr>
        <w:t xml:space="preserve">actually </w:t>
      </w:r>
      <w:r w:rsidRPr="00FA3BFA">
        <w:rPr>
          <w:rFonts w:cs="Times New Roman"/>
          <w:color w:val="000000"/>
        </w:rPr>
        <w:t xml:space="preserve">recorded </w:t>
      </w:r>
      <w:r w:rsidRPr="00FA3BFA">
        <w:rPr>
          <w:rFonts w:cs="Times New Roman"/>
          <w:color w:val="000000"/>
        </w:rPr>
        <w:t xml:space="preserve">near spawning events, </w:t>
      </w:r>
      <w:r w:rsidRPr="00FA3BFA">
        <w:rPr>
          <w:rFonts w:cs="Times New Roman"/>
          <w:color w:val="000000"/>
        </w:rPr>
        <w:t xml:space="preserve">a </w:t>
      </w:r>
      <w:r w:rsidRPr="00FA3BFA">
        <w:rPr>
          <w:rFonts w:cs="Times New Roman"/>
          <w:color w:val="000000"/>
        </w:rPr>
        <w:t xml:space="preserve">difference in timing among feeding </w:t>
      </w:r>
      <w:r w:rsidRPr="00FA3BFA">
        <w:rPr>
          <w:rFonts w:cs="Times New Roman"/>
          <w:color w:val="000000"/>
        </w:rPr>
        <w:t xml:space="preserve">groups that was tested rather than asserted, </w:t>
      </w:r>
      <w:r w:rsidRPr="00FA3BFA">
        <w:rPr>
          <w:rFonts w:cs="Times New Roman"/>
          <w:color w:val="000000"/>
        </w:rPr>
        <w:t xml:space="preserve">and a </w:t>
      </w:r>
      <w:r w:rsidRPr="00FA3BFA">
        <w:rPr>
          <w:rFonts w:cs="Times New Roman"/>
          <w:color w:val="000000"/>
        </w:rPr>
        <w:t xml:space="preserve">short list of places to go and look.</w:t>
      </w:r>
    </w:p>
    <w:p w14:paraId="77F7FC0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Data Availability</w:t>
      </w:r>
    </w:p>
    <w:p w14:paraId="7F8BA90C" w14:textId="77777777" w:rsidR="00C15184" w:rsidRPr="00FA3BFA" w:rsidRDefault="00000000">
      <w:pPr>
        <w:rPr>
          <w:rFonts w:cs="Times New Roman"/>
        </w:rPr>
      </w:pPr>
      <w:r w:rsidRPr="00FA3BFA">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2BE126C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Code Availability</w:t>
      </w:r>
    </w:p>
    <w:p w14:paraId="779945AE" w14:textId="77777777" w:rsidR="00C15184" w:rsidRPr="00FA3BFA" w:rsidRDefault="00000000">
      <w:pPr>
        <w:rPr>
          <w:rFonts w:cs="Times New Roman"/>
        </w:rPr>
      </w:pPr>
      <w:r w:rsidRPr="00FA3BFA">
        <w:rPr>
          <w:rFonts w:cs="Times New Roman"/>
        </w:rPr>
        <w:t>Code for data processing, taxonomic harmonization, model fitting, statistical contrasts, diagnostics and figures is archived at [[AUTHOR INPUT REQUIRED: repository DOI]].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E13168D"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Funding</w:t>
      </w:r>
    </w:p>
    <w:p w14:paraId="4D550041" w14:textId="77777777" w:rsidR="00C15184" w:rsidRPr="00FA3BFA" w:rsidRDefault="00000000">
      <w:pPr>
        <w:rPr>
          <w:rFonts w:cs="Times New Roman"/>
        </w:rPr>
      </w:pPr>
      <w:r w:rsidRPr="00FA3BFA">
        <w:rPr>
          <w:rFonts w:cs="Times New Roman"/>
          <w:color w:val="000000"/>
        </w:rPr>
        <w:t>[[AUTHOR INPUT REQUIRED: funding statement, including grant numbers and the role of any sponsor]]</w:t>
      </w:r>
    </w:p>
    <w:p w14:paraId="50F7A01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Competing Interest</w:t>
      </w:r>
    </w:p>
    <w:p w14:paraId="46C49FF1" w14:textId="77777777" w:rsidR="00C15184" w:rsidRPr="00FA3BFA" w:rsidRDefault="00000000">
      <w:pPr>
        <w:rPr>
          <w:rFonts w:cs="Times New Roman"/>
        </w:rPr>
      </w:pPr>
      <w:r w:rsidRPr="00FA3BFA">
        <w:rPr>
          <w:rFonts w:cs="Times New Roman"/>
          <w:color w:val="000000"/>
        </w:rPr>
        <w:t>The author declares that he has no known competing financial interests or personal relationships that could have appeared to influence the work reported in this paper.</w:t>
      </w:r>
    </w:p>
    <w:p w14:paraId="0038AC6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Ethics</w:t>
      </w:r>
    </w:p>
    <w:p w14:paraId="1939D830" w14:textId="77777777" w:rsidR="00C15184" w:rsidRPr="00FA3BFA" w:rsidRDefault="00000000">
      <w:pPr>
        <w:rPr>
          <w:rFonts w:cs="Times New Roman"/>
        </w:rPr>
      </w:pPr>
      <w:r w:rsidRPr="00FA3BFA">
        <w:rPr>
          <w:rFonts w:cs="Times New Roman"/>
          <w:color w:val="000000"/>
        </w:rPr>
        <w:t>The study used existing biodiversity and fisheries-monitoring records and involved no direct handling of animals.</w:t>
      </w:r>
    </w:p>
    <w:p w14:paraId="5B275FD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CRediT Authorship Contribution Statement</w:t>
      </w:r>
    </w:p>
    <w:p w14:paraId="10947802" w14:textId="77777777" w:rsidR="00C15184" w:rsidRPr="00FA3BFA" w:rsidRDefault="00000000">
      <w:pPr>
        <w:rPr>
          <w:rFonts w:cs="Times New Roman"/>
        </w:rPr>
      </w:pPr>
      <w:r w:rsidRPr="00FA3BFA">
        <w:rPr>
          <w:rFonts w:cs="Times New Roman"/>
          <w:color w:val="000000"/>
        </w:rPr>
        <w:t>Jacob T. Dingwall: Conceptualization, Methodology, Software, Formal analysis, Investigation, Data curation, Visualization, Writing – original draft, Writing – review and editing.</w:t>
      </w:r>
    </w:p>
    <w:p w14:paraId="2ACC938F"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Generative AI and AI-assisted Technologies in the Writing Process</w:t>
      </w:r>
    </w:p>
    <w:p w14:paraId="05459C96" w14:textId="77777777" w:rsidR="00C15184" w:rsidRPr="00FA3BFA" w:rsidRDefault="00000000">
      <w:pPr>
        <w:rPr>
          <w:rFonts w:cs="Times New Roman"/>
        </w:rPr>
      </w:pPr>
      <w:r w:rsidRPr="00FA3BFA">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5A94CC7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Acknowledgements</w:t>
      </w:r>
    </w:p>
    <w:p w14:paraId="1975680C" w14:textId="77777777" w:rsidR="00C15184" w:rsidRPr="00FA3BFA" w:rsidRDefault="00000000">
      <w:pPr>
        <w:rPr>
          <w:rFonts w:cs="Times New Roman"/>
        </w:rPr>
      </w:pPr>
      <w:r w:rsidRPr="00FA3BFA">
        <w:rPr>
          <w:rFonts w:cs="Times New Roman"/>
          <w:color w:val="000000"/>
        </w:rPr>
        <w:t>I thank the eBird participants and data reviewers, and the Fisheries and Oceans Canada personnel whose spawn surveys made this analysis possible. [[AUTHOR INPUT REQUIRED: additional acknowledgements]]</w:t>
      </w:r>
    </w:p>
    <w:p w14:paraId="4825544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References</w:t>
      </w:r>
    </w:p>
    <w:p w14:paraId="5B1ED8F2" w14:textId="77777777" w:rsidR="00C15184" w:rsidRPr="00FA3BFA" w:rsidRDefault="00000000">
      <w:pPr>
        <w:rPr>
          <w:rFonts w:cs="Times New Roman"/>
        </w:rPr>
      </w:pPr>
      <w:r w:rsidRPr="00FA3BFA">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49759BBF" w14:textId="77777777" w:rsidR="00C15184" w:rsidRPr="00FA3BFA" w:rsidRDefault="00000000">
      <w:pPr>
        <w:rPr>
          <w:rFonts w:cs="Times New Roman"/>
        </w:rPr>
      </w:pPr>
      <w:r w:rsidRPr="00FA3BFA">
        <w:rPr>
          <w:rFonts w:cs="Times New Roman"/>
          <w:color w:val="000000"/>
        </w:rPr>
        <w:t>Bates, Douglas, Martin Maechler, Ben Bolker, and Steve Walker. 2015. “Fitting Linear Mixed-Effects Models Using Lme4.” J. Stat. Softw. 67 (1): 1–48. https://doi.org/10.18637/jss.v067.i01.</w:t>
      </w:r>
    </w:p>
    <w:p w14:paraId="3FE4D470" w14:textId="77777777" w:rsidR="00C15184" w:rsidRPr="00FA3BFA" w:rsidRDefault="00000000">
      <w:pPr>
        <w:rPr>
          <w:rFonts w:cs="Times New Roman"/>
        </w:rPr>
      </w:pPr>
      <w:r w:rsidRPr="00FA3BFA">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48B6B5A9" w14:textId="77777777" w:rsidR="00C15184" w:rsidRPr="00FA3BFA" w:rsidRDefault="00000000">
      <w:pPr>
        <w:rPr>
          <w:rFonts w:cs="Times New Roman"/>
        </w:rPr>
      </w:pPr>
      <w:r w:rsidRPr="00FA3BFA">
        <w:rPr>
          <w:rFonts w:cs="Times New Roman"/>
          <w:color w:val="000000"/>
        </w:rPr>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24640098" w14:textId="77777777" w:rsidR="00C15184" w:rsidRPr="00FA3BFA" w:rsidRDefault="00000000">
      <w:pPr>
        <w:rPr>
          <w:rFonts w:cs="Times New Roman"/>
        </w:rPr>
      </w:pPr>
      <w:r w:rsidRPr="00FA3BFA">
        <w:rPr>
          <w:rFonts w:cs="Times New Roman"/>
          <w:color w:val="000000"/>
        </w:rPr>
        <w:t>Bishop, Mary Anne, and Shawn P. Green. 2001. “Predation on Pacific Herring (</w:t>
      </w:r>
      <w:r w:rsidRPr="00FA3BFA">
        <w:rPr>
          <w:rFonts w:cs="Times New Roman"/>
          <w:i/>
          <w:color w:val="000000"/>
        </w:rPr>
        <w:t>Clupea pallasi</w:t>
      </w:r>
      <w:r w:rsidRPr="00FA3BFA">
        <w:rPr>
          <w:rFonts w:cs="Times New Roman"/>
          <w:color w:val="000000"/>
        </w:rPr>
        <w:t>) Spawn by Birds in Prince William Sound, Alaska.” Fish. Oceanogr. 10 (s1): 149–58. https://doi.org/10.1046/j.1054-6006.2001.00038.x.</w:t>
      </w:r>
    </w:p>
    <w:p w14:paraId="2B7785C9" w14:textId="77777777" w:rsidR="00C15184" w:rsidRPr="00FA3BFA" w:rsidRDefault="00000000">
      <w:pPr>
        <w:rPr>
          <w:rFonts w:cs="Times New Roman"/>
        </w:rPr>
      </w:pPr>
      <w:r w:rsidRPr="00FA3BFA">
        <w:rPr>
          <w:rFonts w:cs="Times New Roman"/>
          <w:color w:val="000000"/>
        </w:rPr>
        <w:t>Clements, J. F., P. C. Rasmussen, T. S. Schulenberg, M. J. Iliff, T. A. Fredericks, J. A. Gerbracht, D. Lepage, A. Spencer, S. M. Billerman, B. L. Sullivan, and C. L. Wood. 2025. “The eBird/Clements Checklist of Birds of the World: v2025.” Cornell Lab of Ornithology, Ithaca, New York. https://www.birds.cornell.edu/clementschecklist/.</w:t>
      </w:r>
    </w:p>
    <w:p w14:paraId="23543D33" w14:textId="77777777" w:rsidR="00BF0BAC" w:rsidRPr="00FA3BFA" w:rsidRDefault="00000000">
      <w:pPr>
        <w:rPr>
          <w:rFonts w:cs="Times New Roman"/>
        </w:rPr>
      </w:pPr>
      <w:r w:rsidRPr="00FA3BFA">
        <w:rPr>
          <w:rFonts w:cs="Times New Roman"/>
        </w:rPr>
        <w:t>[[AUTHOR INPUT REQUIRED: provide the full reference for Dingwall et al. 2026; no bibliographic details were available in the repository.]]</w:t>
      </w:r>
    </w:p>
    <w:p w14:paraId="71BC8472" w14:textId="77777777" w:rsidR="00C15184" w:rsidRPr="00FA3BFA" w:rsidRDefault="00000000">
      <w:pPr>
        <w:rPr>
          <w:rFonts w:cs="Times New Roman"/>
        </w:rPr>
      </w:pPr>
      <w:r w:rsidRPr="00FA3BFA">
        <w:rPr>
          <w:rFonts w:cs="Times New Roman"/>
          <w:color w:val="000000"/>
        </w:rPr>
        <w:t>eBird. 2026. “eBird Basic Dataset, Version EBD_relMay-2026.” Cornell Lab of Ornithology, Ithaca, New York. https://support.ebird.org/en/support/solutions/articles/48000838205-download-ebird-data.</w:t>
      </w:r>
    </w:p>
    <w:p w14:paraId="68320F16" w14:textId="77777777" w:rsidR="00C15184" w:rsidRPr="00FA3BFA" w:rsidRDefault="00000000">
      <w:pPr>
        <w:rPr>
          <w:rFonts w:cs="Times New Roman"/>
        </w:rPr>
      </w:pPr>
      <w:r w:rsidRPr="00FA3BFA">
        <w:rPr>
          <w:rFonts w:cs="Times New Roman"/>
          <w:color w:val="000000"/>
        </w:rPr>
        <w:t>Fisheries and Oceans Canada. 2026. “Pacific Herring Spawn Index Data.” Open Government Portal, record d892511c-d851-4f85-a0ec-708bc05d2810. https://open.canada.ca/data/en/dataset/d892511c-d851-4f85-a0ec-708bc05d2810.</w:t>
      </w:r>
    </w:p>
    <w:p w14:paraId="63799AA1" w14:textId="77777777" w:rsidR="00C15184" w:rsidRPr="00FA3BFA" w:rsidRDefault="00000000">
      <w:pPr>
        <w:rPr>
          <w:rFonts w:cs="Times New Roman"/>
        </w:rPr>
      </w:pPr>
      <w:r w:rsidRPr="00FA3BFA">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4B2DF1F2" w14:textId="77777777" w:rsidR="00C15184" w:rsidRPr="00FA3BFA" w:rsidRDefault="00000000">
      <w:pPr>
        <w:rPr>
          <w:rFonts w:cs="Times New Roman"/>
        </w:rPr>
      </w:pPr>
      <w:r w:rsidRPr="00FA3BFA">
        <w:rPr>
          <w:rFonts w:cs="Times New Roman"/>
          <w:color w:val="000000"/>
        </w:rPr>
        <w:t>Haegele, C. W. 1993. “Seabird Predation of Pacific Herring, Clupea Pallasi, Spawn in British Columbia.” Can. Field-Nat. 107 (1): 73–82. https://doi.org/10.5962/p.357075.</w:t>
      </w:r>
    </w:p>
    <w:p w14:paraId="3CA7BA7D" w14:textId="77777777" w:rsidR="00C15184" w:rsidRPr="00FA3BFA" w:rsidRDefault="00000000">
      <w:pPr>
        <w:rPr>
          <w:rFonts w:cs="Times New Roman"/>
        </w:rPr>
      </w:pPr>
      <w:r w:rsidRPr="00FA3BFA">
        <w:rPr>
          <w:rFonts w:cs="Times New Roman"/>
          <w:color w:val="000000"/>
        </w:rPr>
        <w:t>Haegele, C. W., and J. F. Schweigert. 1985. “Distribution and Characteristics of Herring Spawning Grounds and Description of Spawning Behavior.” Can. J. Fish. Aquat. Sci. 42 (S1): s39–55. https://doi.org/10.1139/f85-261.</w:t>
      </w:r>
    </w:p>
    <w:p w14:paraId="09AA24A1" w14:textId="77777777" w:rsidR="00C15184" w:rsidRPr="00FA3BFA" w:rsidRDefault="00000000">
      <w:pPr>
        <w:rPr>
          <w:rFonts w:cs="Times New Roman"/>
        </w:rPr>
      </w:pPr>
      <w:r w:rsidRPr="00FA3BFA">
        <w:rPr>
          <w:rFonts w:cs="Times New Roman"/>
          <w:color w:val="000000"/>
        </w:rPr>
        <w:t>Hay, D. E., and A. R. Kronlund. 1987. “Factors Affecting the Distribution, Abundance, and Measurement of Pacific Herring Spawn.” Can. J. Fish. Aquat. Sci. 44 (6): 1181–94. https://doi.org/10.1139/f87-141.</w:t>
      </w:r>
    </w:p>
    <w:p w14:paraId="5F4BF872" w14:textId="77777777" w:rsidR="00C15184" w:rsidRPr="00FA3BFA" w:rsidRDefault="00000000">
      <w:pPr>
        <w:rPr>
          <w:rFonts w:cs="Times New Roman"/>
        </w:rPr>
      </w:pPr>
      <w:r w:rsidRPr="00FA3BFA">
        <w:rPr>
          <w:rFonts w:cs="Times New Roman"/>
          <w:color w:val="000000"/>
        </w:rPr>
        <w:t>Hay, Douglas E., P. Bruce McCarter, Kristen S. Daniel, and Jacob F. Schweigert. 2009. “Spatial Diversity of Pacific Herring Spawning Areas.” ICES J. Mar. Sci. 66 (8): 1662–66. https://doi.org/10.1093/icesjms/fsp139.</w:t>
      </w:r>
    </w:p>
    <w:p w14:paraId="008723F4" w14:textId="77777777" w:rsidR="00C15184" w:rsidRPr="00FA3BFA" w:rsidRDefault="00000000">
      <w:pPr>
        <w:rPr>
          <w:rFonts w:cs="Times New Roman"/>
        </w:rPr>
      </w:pPr>
      <w:r w:rsidRPr="00FA3BFA">
        <w:rPr>
          <w:rFonts w:cs="Times New Roman"/>
          <w:color w:val="000000"/>
        </w:rPr>
        <w:t>Holt, Robert D. 2008. “Theoretical Perspectives on Resource Pulses.” Ecology 89 (3): 671–681. https://doi.org/10.1890/07-0348.1.</w:t>
      </w:r>
    </w:p>
    <w:p w14:paraId="5B7B08C1" w14:textId="77777777" w:rsidR="00C15184" w:rsidRPr="00FA3BFA" w:rsidRDefault="00000000">
      <w:pPr>
        <w:rPr>
          <w:rFonts w:cs="Times New Roman"/>
        </w:rPr>
      </w:pPr>
      <w:r w:rsidRPr="00FA3BFA">
        <w:rPr>
          <w:rFonts w:cs="Times New Roman"/>
          <w:color w:val="000000"/>
        </w:rPr>
        <w:t>Isaac, Nick J. B., and Michael J. O. Pocock. 2015. “Bias and Information in Biological Records.” Biological Journal of the Linnean Society 115 (3): 522–531. https://doi.org/10.1111/bij.12532.</w:t>
      </w:r>
    </w:p>
    <w:p w14:paraId="1A0BA809" w14:textId="77777777" w:rsidR="00C15184" w:rsidRPr="00FA3BFA" w:rsidRDefault="00000000">
      <w:pPr>
        <w:rPr>
          <w:rFonts w:cs="Times New Roman"/>
        </w:rPr>
      </w:pPr>
      <w:r w:rsidRPr="00FA3BFA">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4C3A30FE" w14:textId="77777777" w:rsidR="00C15184" w:rsidRPr="00FA3BFA" w:rsidRDefault="00000000">
      <w:pPr>
        <w:rPr>
          <w:rFonts w:cs="Times New Roman"/>
        </w:rPr>
      </w:pPr>
      <w:r w:rsidRPr="00FA3BFA">
        <w:rPr>
          <w:rFonts w:cs="Times New Roman"/>
          <w:color w:val="000000"/>
        </w:rPr>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6F76644D" w14:textId="77777777" w:rsidR="00C15184" w:rsidRPr="00FA3BFA" w:rsidRDefault="00000000">
      <w:pPr>
        <w:rPr>
          <w:rFonts w:cs="Times New Roman"/>
        </w:rPr>
      </w:pPr>
      <w:r w:rsidRPr="00FA3BFA">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2BF2CA9F" w14:textId="77777777" w:rsidR="00C15184" w:rsidRPr="00FA3BFA" w:rsidRDefault="00000000">
      <w:pPr>
        <w:rPr>
          <w:rFonts w:cs="Times New Roman"/>
        </w:rPr>
      </w:pPr>
      <w:r w:rsidRPr="00FA3BFA">
        <w:rPr>
          <w:rFonts w:cs="Times New Roman"/>
          <w:color w:val="000000"/>
        </w:rPr>
        <w:t>Kelly, Jeffrey P., Carol A. Rothenbach, and Wesley W. Weathers. 2018. “Echoes of Numerical Dependence: Responses of Wintering Waterbirds to Pacific Herring Spawns.” Mar. Ecol. Prog. Ser. 597: 243–57. https://doi.org/10.3354/meps12594.</w:t>
      </w:r>
    </w:p>
    <w:p w14:paraId="1C53F7ED" w14:textId="77777777" w:rsidR="00C15184" w:rsidRPr="00FA3BFA" w:rsidRDefault="00000000">
      <w:pPr>
        <w:rPr>
          <w:rFonts w:cs="Times New Roman"/>
        </w:rPr>
      </w:pPr>
      <w:r w:rsidRPr="00FA3BFA">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5C5B017C" w14:textId="77777777" w:rsidR="00C15184" w:rsidRPr="00FA3BFA" w:rsidRDefault="00000000">
      <w:pPr>
        <w:rPr>
          <w:rFonts w:cs="Times New Roman"/>
        </w:rPr>
      </w:pPr>
      <w:r w:rsidRPr="00FA3BFA">
        <w:rPr>
          <w:rFonts w:cs="Times New Roman"/>
          <w:color w:val="000000"/>
        </w:rPr>
        <w:t>Larsen, Ashley E., Kyle Meng, and Bruce E. Kendall. 2019. “Causal Analysis in Control–Impact Ecological Studies with Observational Data.” Methods Ecol. Evol. 10 (7): 924–34. https://doi.org/10.1111/2041-210X.13190.</w:t>
      </w:r>
    </w:p>
    <w:p w14:paraId="2A54C957" w14:textId="77777777" w:rsidR="00C15184" w:rsidRPr="00FA3BFA" w:rsidRDefault="00000000">
      <w:pPr>
        <w:rPr>
          <w:rFonts w:cs="Times New Roman"/>
        </w:rPr>
      </w:pPr>
      <w:r w:rsidRPr="00FA3BFA">
        <w:rPr>
          <w:rFonts w:cs="Times New Roman"/>
          <w:color w:val="000000"/>
        </w:rPr>
        <w:t>Lewis, Tyler L., Daniel Esler, and W. Sean Boyd. 2007. “Foraging Behaviors of Surf Scoters and White-Winged Scoters During Spawning of Pacific Herring.” Condor 109 (1): 216–22. https://doi.org/10.1093/condor/109.1.216.</w:t>
      </w:r>
    </w:p>
    <w:p w14:paraId="11BCD989" w14:textId="77777777" w:rsidR="00C15184" w:rsidRPr="00FA3BFA" w:rsidRDefault="00000000">
      <w:pPr>
        <w:rPr>
          <w:rFonts w:cs="Times New Roman"/>
        </w:rPr>
      </w:pPr>
      <w:r w:rsidRPr="00FA3BFA">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14F228D3" w14:textId="77777777" w:rsidR="00C15184" w:rsidRPr="00FA3BFA" w:rsidRDefault="00000000">
      <w:pPr>
        <w:rPr>
          <w:rFonts w:cs="Times New Roman"/>
        </w:rPr>
      </w:pPr>
      <w:r w:rsidRPr="00FA3BFA">
        <w:rPr>
          <w:rFonts w:cs="Times New Roman"/>
          <w:color w:val="000000"/>
        </w:rPr>
        <w:t>Lok, Erika K., Daniel Esler, John Y. Takekawa, Susan E. W. De La Cruz, W. Sean Boyd, David R. Nysewander, Joseph R. Evenson, and David H. Ward. 2012. “Spatiotemporal Associations Between Pacific Herring Spawn and Surf Scoter Spring Migration: Evaluating a Silver Wave Hypothesis.” Mar. Ecol. Prog. Ser. 457: 139–50. https://doi.org/10.3354/meps09692.</w:t>
      </w:r>
    </w:p>
    <w:p w14:paraId="2914E824" w14:textId="77777777" w:rsidR="00C15184" w:rsidRPr="00FA3BFA" w:rsidRDefault="00000000">
      <w:pPr>
        <w:rPr>
          <w:rFonts w:cs="Times New Roman"/>
        </w:rPr>
      </w:pPr>
      <w:r w:rsidRPr="00FA3BFA">
        <w:rPr>
          <w:rFonts w:cs="Times New Roman"/>
          <w:color w:val="000000"/>
        </w:rPr>
        <w:t>Nowlin, Weston H., Michael J. Vanni, and Louie H. Yang. 2008. “Comparing Resource Pulses in Aquatic and Terrestrial Ecosystems.” Ecology 89 (3): 647–659. https://doi.org/10.1890/07-0303.1.</w:t>
      </w:r>
    </w:p>
    <w:p w14:paraId="221A7D7A" w14:textId="77777777" w:rsidR="00C15184" w:rsidRPr="00FA3BFA" w:rsidRDefault="00000000">
      <w:pPr>
        <w:rPr>
          <w:rFonts w:cs="Times New Roman"/>
        </w:rPr>
      </w:pPr>
      <w:r w:rsidRPr="00FA3BFA">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6D4C8756" w14:textId="77777777" w:rsidR="00C15184" w:rsidRPr="00FA3BFA" w:rsidRDefault="00000000">
      <w:pPr>
        <w:rPr>
          <w:rFonts w:cs="Times New Roman"/>
        </w:rPr>
      </w:pPr>
      <w:r w:rsidRPr="00FA3BFA">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2BF0DC2A" w14:textId="77777777" w:rsidR="00C15184" w:rsidRPr="00FA3BFA" w:rsidRDefault="00000000">
      <w:pPr>
        <w:rPr>
          <w:rFonts w:cs="Times New Roman"/>
        </w:rPr>
      </w:pPr>
      <w:r w:rsidRPr="00FA3BFA">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523AFCB7" w14:textId="77777777" w:rsidR="00C15184" w:rsidRPr="00FA3BFA" w:rsidRDefault="00000000">
      <w:pPr>
        <w:rPr>
          <w:rFonts w:cs="Times New Roman"/>
        </w:rPr>
      </w:pPr>
      <w:r w:rsidRPr="00FA3BFA">
        <w:rPr>
          <w:rFonts w:cs="Times New Roman"/>
          <w:color w:val="000000"/>
        </w:rPr>
        <w:t>Sullivan, Terrance M., Robert W. Butler, and W. Sean Boyd. 2002. “Seasonal Distribution of Waterbirds in Relation to Spawning Pacific Herring, Clupea Pallasi, in the Strait of Georgia, British Columbia.” Can. Field-Nat. 116 (3): 366–70. https://doi.org/10.5962/p.363475.</w:t>
      </w:r>
    </w:p>
    <w:p w14:paraId="3BFDE0EE" w14:textId="77777777" w:rsidR="00C15184" w:rsidRPr="00FA3BFA" w:rsidRDefault="00000000">
      <w:pPr>
        <w:rPr>
          <w:rFonts w:cs="Times New Roman"/>
        </w:rPr>
      </w:pPr>
      <w:r w:rsidRPr="00FA3BFA">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15AAEC3F" w14:textId="77777777" w:rsidR="00C15184" w:rsidRPr="00FA3BFA" w:rsidRDefault="00000000">
      <w:pPr>
        <w:rPr>
          <w:rFonts w:cs="Times New Roman"/>
        </w:rPr>
      </w:pPr>
      <w:r w:rsidRPr="00FA3BFA">
        <w:rPr>
          <w:rFonts w:cs="Times New Roman"/>
          <w:color w:val="000000"/>
        </w:rPr>
        <w:t>Wing, Coady, Kosali Simon, and Ricardo A. Bello-Gomez. 2018. “Designing Difference in Difference Studies: Best Practices for Public Health Policy Research.” Annu. Rev. Public Health 39: 453–69. https://doi.org/10.1146/annurev-publhealth-040617-013507.</w:t>
      </w:r>
    </w:p>
    <w:p w14:paraId="5935E1EF" w14:textId="77777777" w:rsidR="00C15184" w:rsidRPr="00FA3BFA" w:rsidRDefault="00000000">
      <w:pPr>
        <w:rPr>
          <w:rFonts w:cs="Times New Roman"/>
        </w:rPr>
      </w:pPr>
      <w:r w:rsidRPr="00FA3BFA">
        <w:rPr>
          <w:rFonts w:cs="Times New Roman"/>
          <w:color w:val="000000"/>
        </w:rPr>
        <w:t>Yang, Louie H., Jennifer L. Bastow, Kristin O. Spence, and Amber N. Wright. 2008. “What Can We Learn from Resource Pulses?” Ecology 89 (3): 621–634. https://doi.org/10.1890/07-0175.1.</w:t>
      </w:r>
    </w:p>
    <w:sectPr w:rsidR="00C15184" w:rsidRPr="00FA3BFA" w:rsidSect="00F32B77">
      <w:footerReference w:type="default" r:id="rId1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ke Dingwall" w:date="2026-07-26T16:40:00Z" w:initials="JD">
    <w:p w14:paraId="0AB6054D" w14:textId="77777777" w:rsidR="00FA3BFA" w:rsidRDefault="00FA3BFA" w:rsidP="00FA3BFA">
      <w:pPr>
        <w:pStyle w:val="CommentText"/>
      </w:pPr>
      <w:r>
        <w:rPr>
          <w:rStyle w:val="CommentReference"/>
        </w:rPr>
        <w:annotationRef/>
      </w:r>
      <w:r>
        <w:t>Change my mind on adding these latin names here</w:t>
      </w:r>
    </w:p>
  </w:comment>
  <w:comment w:id="2" w:author="Jake Dingwall" w:date="2026-07-26T16:41:00Z" w:initials="JD">
    <w:p w14:paraId="445BA673" w14:textId="77777777" w:rsidR="00FA3BFA" w:rsidRDefault="00FA3BFA" w:rsidP="00FA3BFA">
      <w:pPr>
        <w:pStyle w:val="CommentText"/>
      </w:pPr>
      <w:r>
        <w:rPr>
          <w:rStyle w:val="CommentReference"/>
        </w:rPr>
        <w:annotationRef/>
      </w:r>
      <w:r>
        <w:t xml:space="preserve">These paragraphs feel like they overlap a lot and should maybe be combined. </w:t>
      </w:r>
    </w:p>
  </w:comment>
  <w:comment w:id="7" w:author="Jake Dingwall" w:date="2026-07-26T16:43:00Z" w:initials="JD">
    <w:p w14:paraId="593D3278" w14:textId="77777777" w:rsidR="00FA3BFA" w:rsidRDefault="00FA3BFA" w:rsidP="00FA3BFA">
      <w:pPr>
        <w:pStyle w:val="CommentText"/>
      </w:pPr>
      <w:r>
        <w:rPr>
          <w:rStyle w:val="CommentReference"/>
        </w:rPr>
        <w:annotationRef/>
      </w:r>
      <w:r>
        <w:t xml:space="preserve">Probably unnecessarily rigorous for an intro.  </w:t>
      </w:r>
    </w:p>
  </w:comment>
  <w:comment w:id="8" w:author="Jake Dingwall" w:date="2026-07-26T16:43:00Z" w:initials="JD">
    <w:p w14:paraId="3E52EF60" w14:textId="77777777" w:rsidR="00FA3BFA" w:rsidRDefault="00FA3BFA" w:rsidP="00FA3BFA">
      <w:pPr>
        <w:pStyle w:val="CommentText"/>
      </w:pPr>
      <w:r>
        <w:rPr>
          <w:rStyle w:val="CommentReference"/>
        </w:rPr>
        <w:annotationRef/>
      </w:r>
      <w:r>
        <w:t>Remember all first time common names need a species name! Add this to the writing style md</w:t>
      </w:r>
    </w:p>
  </w:comment>
  <w:comment w:id="9" w:author="Jake Dingwall" w:date="2026-07-26T16:44:00Z" w:initials="JD">
    <w:p w14:paraId="6264C8B4" w14:textId="77777777" w:rsidR="00FA3BFA" w:rsidRDefault="00FA3BFA" w:rsidP="00FA3BFA">
      <w:pPr>
        <w:pStyle w:val="CommentText"/>
      </w:pPr>
      <w:r>
        <w:rPr>
          <w:rStyle w:val="CommentReference"/>
        </w:rPr>
        <w:annotationRef/>
      </w:r>
      <w:r>
        <w:t>I asked you to do this?</w:t>
      </w:r>
    </w:p>
  </w:comment>
  <w:comment w:id="11" w:author="Jake Dingwall" w:date="2026-07-26T16:45:00Z" w:initials="JD">
    <w:p w14:paraId="7A7891C9" w14:textId="77777777" w:rsidR="00FA3BFA" w:rsidRDefault="00FA3BFA" w:rsidP="00FA3BFA">
      <w:pPr>
        <w:pStyle w:val="CommentText"/>
      </w:pPr>
      <w:r>
        <w:rPr>
          <w:rStyle w:val="CommentReference"/>
        </w:rPr>
        <w:annotationRef/>
      </w:r>
      <w:r>
        <w:t xml:space="preserve">Nobody cares about study rules. Remove. </w:t>
      </w:r>
    </w:p>
  </w:comment>
  <w:comment w:id="12" w:author="Jake Dingwall" w:date="2026-07-26T16:45:00Z" w:initials="JD">
    <w:p w14:paraId="131AC80D" w14:textId="77777777" w:rsidR="00FA3BFA" w:rsidRDefault="00FA3BFA" w:rsidP="00FA3BFA">
      <w:pPr>
        <w:pStyle w:val="CommentText"/>
      </w:pPr>
      <w:r>
        <w:rPr>
          <w:rStyle w:val="CommentReference"/>
        </w:rPr>
        <w:annotationRef/>
      </w:r>
      <w:r>
        <w:t xml:space="preserve">Describe more about the dataset and don’t use variable names. How do they collect it, etc. </w:t>
      </w:r>
    </w:p>
  </w:comment>
  <w:comment w:id="16" w:author="Jake Dingwall" w:date="2026-07-26T16:46:00Z" w:initials="JD">
    <w:p w14:paraId="43C506E1" w14:textId="77777777" w:rsidR="00FA3BFA" w:rsidRDefault="00FA3BFA" w:rsidP="00FA3BFA">
      <w:pPr>
        <w:pStyle w:val="CommentText"/>
      </w:pPr>
      <w:r>
        <w:rPr>
          <w:rStyle w:val="CommentReference"/>
        </w:rPr>
        <w:annotationRef/>
      </w:r>
      <w:r>
        <w:t xml:space="preserve">This doesn’t sound like it would belong in a scientific pape. </w:t>
      </w:r>
    </w:p>
  </w:comment>
  <w:comment w:id="18" w:author="Jake Dingwall" w:date="2026-07-26T16:46:00Z" w:initials="JD">
    <w:p w14:paraId="4A4139D0" w14:textId="77777777" w:rsidR="00FA3BFA" w:rsidRDefault="00FA3BFA" w:rsidP="00FA3BFA">
      <w:pPr>
        <w:pStyle w:val="CommentText"/>
      </w:pPr>
      <w:r>
        <w:rPr>
          <w:rStyle w:val="CommentReference"/>
        </w:rPr>
        <w:annotationRef/>
      </w:r>
      <w:r>
        <w:t>Don’t use variable names! Use english!</w:t>
      </w:r>
    </w:p>
  </w:comment>
  <w:comment w:id="17" w:author="Jake Dingwall" w:date="2026-07-26T16:47:00Z" w:initials="JD">
    <w:p w14:paraId="6085ED8D" w14:textId="77777777" w:rsidR="00FA3BFA" w:rsidRDefault="00FA3BFA" w:rsidP="00FA3BFA">
      <w:pPr>
        <w:pStyle w:val="CommentText"/>
      </w:pPr>
      <w:r>
        <w:rPr>
          <w:rStyle w:val="CommentReference"/>
        </w:rPr>
        <w:annotationRef/>
      </w:r>
      <w:r>
        <w:t xml:space="preserve">This whole section needs to be more readable. Is there information you can add to a table? Or to the flow diagram figure? This is really hard to read. </w:t>
      </w:r>
    </w:p>
  </w:comment>
  <w:comment w:id="26" w:author="Jake Dingwall" w:date="2026-07-26T16:48:00Z" w:initials="JD">
    <w:p w14:paraId="3D740522" w14:textId="77777777" w:rsidR="006E4209" w:rsidRDefault="006E4209" w:rsidP="006E4209">
      <w:pPr>
        <w:pStyle w:val="CommentText"/>
      </w:pPr>
      <w:r>
        <w:rPr>
          <w:rStyle w:val="CommentReference"/>
        </w:rPr>
        <w:annotationRef/>
      </w:r>
      <w:r>
        <w:t xml:space="preserve">This type of unnecessary detail is evident throughout the paper and is a good hallmark of AI writing. </w:t>
      </w:r>
    </w:p>
  </w:comment>
  <w:comment w:id="25" w:author="Jake Dingwall" w:date="2026-07-26T16:49:00Z" w:initials="JD">
    <w:p w14:paraId="634A3C17" w14:textId="77777777" w:rsidR="006E4209" w:rsidRDefault="006E4209" w:rsidP="006E4209">
      <w:pPr>
        <w:pStyle w:val="CommentText"/>
      </w:pPr>
      <w:r>
        <w:rPr>
          <w:rStyle w:val="CommentReference"/>
        </w:rPr>
        <w:annotationRef/>
      </w:r>
      <w:r>
        <w:t xml:space="preserve">Also overall the paragraphs appear to be too short. They sound clippy and fragmented. </w:t>
      </w:r>
    </w:p>
  </w:comment>
  <w:comment w:id="28" w:author="Jake Dingwall" w:date="2026-07-26T16:51:00Z" w:initials="JD">
    <w:p w14:paraId="31B41440" w14:textId="77777777" w:rsidR="006E4209" w:rsidRDefault="006E4209" w:rsidP="006E4209">
      <w:pPr>
        <w:pStyle w:val="CommentText"/>
      </w:pPr>
      <w:r>
        <w:rPr>
          <w:rStyle w:val="CommentReference"/>
        </w:rPr>
        <w:annotationRef/>
      </w:r>
      <w:r>
        <w:t xml:space="preserve">I think you need to add more transitions words like this. </w:t>
      </w:r>
    </w:p>
  </w:comment>
  <w:comment w:id="29" w:author="Jake Dingwall" w:date="2026-07-26T16:52:00Z" w:initials="JD">
    <w:p w14:paraId="5670145F" w14:textId="77777777" w:rsidR="006E4209" w:rsidRDefault="006E4209" w:rsidP="006E4209">
      <w:pPr>
        <w:pStyle w:val="CommentText"/>
      </w:pPr>
      <w:r>
        <w:rPr>
          <w:rStyle w:val="CommentReference"/>
        </w:rPr>
        <w:annotationRef/>
      </w:r>
      <w:r>
        <w:t>bad</w:t>
      </w:r>
    </w:p>
  </w:comment>
  <w:comment w:id="31" w:author="Jake Dingwall" w:date="2026-07-26T16:53:00Z" w:initials="JD">
    <w:p w14:paraId="6DC20E27" w14:textId="77777777" w:rsidR="006E4209" w:rsidRDefault="006E4209" w:rsidP="006E4209">
      <w:pPr>
        <w:pStyle w:val="CommentText"/>
      </w:pPr>
      <w:r>
        <w:rPr>
          <w:rStyle w:val="CommentReference"/>
        </w:rPr>
        <w:annotationRef/>
      </w:r>
      <w:r>
        <w:t xml:space="preserve">In no scientific paper would you ever see someone describing their coding process like this. This sort of stuff is bad. </w:t>
      </w:r>
    </w:p>
  </w:comment>
  <w:comment w:id="131" w:author="Claude (editorial pass)" w:date="2026-07-26T00:00:00Z" w:initials="C">
    <w:p w14:paraId="5A000083" w14:textId="5A000083">
      <w:r>
        <w:t xml:space="preserve">Combined. The two paragraphs are now one, and the sentence about spawning regions repeating year to year has been folded into the herring paragraph above rather than standing alone.</w:t>
      </w:r>
    </w:p>
  </w:comment>
  <w:comment w:id="132" w:author="Claude (editorial pass)" w:date="2026-07-26T00:00:00Z" w:initials="C">
    <w:p w14:paraId="5A000084" w14:textId="5A000084">
      <w:r>
        <w:t xml:space="preserve">Kept. Journal style needs the binomial at first mention, and this is the first mention for most of these birds. The genus list that followed it (Gavia, Mergus, Lophodytes, Podiceps, Aechmophorus, Urile, Nannopterum) is gone, which was the part that read as a catalogue.</w:t>
      </w:r>
    </w:p>
  </w:comment>
  <w:comment w:id="133" w:author="Claude (editorial pass)" w:date="2026-07-26T00:00:00Z" w:initials="C">
    <w:p w14:paraId="5A000085" w14:textId="5A000085">
      <w:r>
        <w:t xml:space="preserve">Cut. The comparator and negative-control design has moved to Section 2.5 where it belongs; the Introduction now states the expectation and stops.</w:t>
      </w:r>
    </w:p>
  </w:comment>
  <w:comment w:id="134" w:author="Claude (editorial pass)" w:date="2026-07-26T00:00:00Z" w:initials="C">
    <w:p w14:paraId="5A000086" w14:textId="5A000086">
      <w:r>
        <w:t xml:space="preserve">Done, and added to the style guide as a scripted check. Four first mentions were orphaned when the comparator text moved out of the Introduction (Gadwall, Northern Shoveler, Glaucous-winged Gull, Bald Eagle); all four now carry the binomial. 31 binomials, none missing.</w:t>
      </w:r>
    </w:p>
  </w:comment>
  <w:comment w:id="135" w:author="Claude (editorial pass)" w:date="2026-07-26T00:00:00Z" w:initials="C">
    <w:p w14:paraId="5A000087" w14:textId="5A000087">
      <w:r>
        <w:t xml:space="preserve">You did not, and that was my error. The placeholder has been replaced with the conservation and management sentence you asked for. Correct it if the angle is wrong.</w:t>
      </w:r>
    </w:p>
  </w:comment>
  <w:comment w:id="136" w:author="Claude (editorial pass)" w:date="2026-07-26T00:00:00Z" w:initials="C">
    <w:p w14:paraId="5A000088" w14:textId="5A000088">
      <w:r>
        <w:t xml:space="preserve">Removed. "Study rules", "analysis frame", "frozen" and the rest of that vocabulary now return zero across the manuscript.</w:t>
      </w:r>
    </w:p>
  </w:comment>
  <w:comment w:id="137" w:author="Claude (editorial pass)" w:date="2026-07-26T00:00:00Z" w:initials="C">
    <w:p w14:paraId="5A000089" w14:textId="5A000089">
      <w:r>
        <w:t xml:space="preserve">Rewritten. The paragraph now describes how DFO collects the index, surface and dive surveys through the spawning season and what each records, instead of listing StartDate and EndDate. No field names remain.</w:t>
      </w:r>
    </w:p>
  </w:comment>
  <w:comment w:id="138" w:author="Claude (editorial pass)" w:date="2026-07-26T00:00:00Z" w:initials="C">
    <w:p w14:paraId="5A00008A" w14:textId="5A00008A">
      <w:r>
        <w:t xml:space="preserve">Cut. The paragraph defining event blocks as a construct is gone; what survives is the one sentence a reader needs, that two events in the same block need not belong to one spawning population.</w:t>
      </w:r>
    </w:p>
  </w:comment>
  <w:comment w:id="139" w:author="Claude (editorial pass)" w:date="2026-07-26T00:00:00Z" w:initials="C">
    <w:p w14:paraId="5A00008B" w14:textId="5A00008B">
      <w:r>
        <w:t xml:space="preserve">Table 1 is new and carries the six period definitions, their lengths and what is happening biologically in each. The dense prose that held those numbers has been deleted.</w:t>
      </w:r>
    </w:p>
  </w:comment>
  <w:comment w:id="140" w:author="Claude (editorial pass)" w:date="2026-07-26T00:00:00Z" w:initials="C">
    <w:p w14:paraId="5A00008C" w14:textId="5A00008C">
      <w:r>
        <w:t xml:space="preserve">Done. StartDate and EndDate are gone from the Day 0 definition, which now reads as the midpoint between the first and last dates on which spawn was recorded at a location.</w:t>
      </w:r>
    </w:p>
  </w:comment>
  <w:comment w:id="141" w:author="Claude (editorial pass)" w:date="2026-07-26T00:00:00Z" w:initials="C">
    <w:p w14:paraId="5A00008D" w14:textId="5A00008D">
      <w:r>
        <w:t xml:space="preserve">Addressed, though not the way I first took it. Paragraphs were merged and connectives added. Measuring it afterwards showed sentence length is not a marker of machine writing in any of the literature, so it is no longer treated as one; the readability measure that is cited has replaced it.</w:t>
      </w:r>
    </w:p>
  </w:comment>
  <w:comment w:id="142" w:author="Claude (editorial pass)" w:date="2026-07-26T00:00:00Z" w:initials="C">
    <w:p w14:paraId="5A00008E" w14:textId="5A00008E">
      <w:r>
        <w:t xml:space="preserve">This was the most useful comment of the fifteen. The pattern was much wider than the sentence you marked: 19% of sentences in the body carried a pre-emptive denial, fencing a finding in the same breath as stating it. Eighteen of those are now cut where the point already has a home in Section 4.3 or 4.4. The restated condition you marked here is gone.</w:t>
      </w:r>
    </w:p>
  </w:comment>
  <w:comment w:id="143" w:author="Claude (editorial pass)" w:date="2026-07-26T00:00:00Z" w:initials="C">
    <w:p w14:paraId="5A00008F" w14:textId="5A00008F">
      <w:r>
        <w:t xml:space="preserve">Done. Ordinary connectives (because, although, whereas, since, however) now appear about 16 times per thousand words, against 7 in v30.</w:t>
      </w:r>
    </w:p>
  </w:comment>
  <w:comment w:id="144" w:author="Claude (editorial pass)" w:date="2026-07-26T00:00:00Z" w:initials="C">
    <w:p w14:paraId="5A000090" w14:textId="5A000090">
      <w:r>
        <w:t xml:space="preserve">Rewritten. The sentence pointing the reader at Section 4.4 is gone, and what remains states the interval construction once without instructing the reader how to weigh it.</w:t>
      </w:r>
    </w:p>
  </w:comment>
  <w:comment w:id="145" w:author="Claude (editorial pass)" w:date="2026-07-26T00:00:00Z" w:initials="C">
    <w:p w14:paraId="5A000091" w14:textId="5A000091">
      <w:r>
        <w:t xml:space="preserve">Cut. The pipeline vocabulary is gone throughout, along with the sentence declaring the missing diel term to be a real gap rather than a considered omission. The limitation itself stays in Section 4.4, stated once.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5BA673" w15:done="1"/>
  <w15:commentEx w15:paraId="5A000083" w15:paraIdParent="445BA673" w15:done="1"/>
  <w15:commentEx w15:paraId="0AB6054D" w15:done="1"/>
  <w15:commentEx w15:paraId="5A000084" w15:paraIdParent="0AB6054D" w15:done="1"/>
  <w15:commentEx w15:paraId="593D3278" w15:done="1"/>
  <w15:commentEx w15:paraId="5A000085" w15:paraIdParent="593D3278" w15:done="1"/>
  <w15:commentEx w15:paraId="3E52EF60" w15:done="1"/>
  <w15:commentEx w15:paraId="5A000086" w15:paraIdParent="3E52EF60" w15:done="1"/>
  <w15:commentEx w15:paraId="6264C8B4" w15:done="1"/>
  <w15:commentEx w15:paraId="5A000087" w15:paraIdParent="6264C8B4" w15:done="1"/>
  <w15:commentEx w15:paraId="7A7891C9" w15:done="1"/>
  <w15:commentEx w15:paraId="5A000088" w15:paraIdParent="7A7891C9" w15:done="1"/>
  <w15:commentEx w15:paraId="131AC80D" w15:done="1"/>
  <w15:commentEx w15:paraId="5A000089" w15:paraIdParent="131AC80D" w15:done="1"/>
  <w15:commentEx w15:paraId="43C506E1" w15:done="1"/>
  <w15:commentEx w15:paraId="5A00008A" w15:paraIdParent="43C506E1" w15:done="1"/>
  <w15:commentEx w15:paraId="6085ED8D" w15:done="1"/>
  <w15:commentEx w15:paraId="5A00008B" w15:paraIdParent="6085ED8D" w15:done="1"/>
  <w15:commentEx w15:paraId="4A4139D0" w15:done="1"/>
  <w15:commentEx w15:paraId="5A00008C" w15:paraIdParent="4A4139D0" w15:done="1"/>
  <w15:commentEx w15:paraId="634A3C17" w15:done="1"/>
  <w15:commentEx w15:paraId="5A00008D" w15:paraIdParent="634A3C17" w15:done="1"/>
  <w15:commentEx w15:paraId="3D740522" w15:done="1"/>
  <w15:commentEx w15:paraId="5A00008E" w15:paraIdParent="3D740522" w15:done="1"/>
  <w15:commentEx w15:paraId="31B41440" w15:done="1"/>
  <w15:commentEx w15:paraId="5A00008F" w15:paraIdParent="31B41440" w15:done="1"/>
  <w15:commentEx w15:paraId="5670145F" w15:done="1"/>
  <w15:commentEx w15:paraId="5A000090" w15:paraIdParent="5670145F" w15:done="1"/>
  <w15:commentEx w15:paraId="6DC20E27" w15:done="1"/>
  <w15:commentEx w15:paraId="5A000091" w15:paraIdParent="6DC20E2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E35E9" w16cex:dateUtc="2026-07-26T23:40:00Z"/>
  <w16cex:commentExtensible w16cex:durableId="756ABCE3" w16cex:dateUtc="2026-07-26T23:41:00Z"/>
  <w16cex:commentExtensible w16cex:durableId="5550D78E" w16cex:dateUtc="2026-07-26T23:43:00Z"/>
  <w16cex:commentExtensible w16cex:durableId="3416D269" w16cex:dateUtc="2026-07-26T23:43:00Z"/>
  <w16cex:commentExtensible w16cex:durableId="61D36585" w16cex:dateUtc="2026-07-26T23:44:00Z"/>
  <w16cex:commentExtensible w16cex:durableId="4F2B1378" w16cex:dateUtc="2026-07-26T23:45:00Z"/>
  <w16cex:commentExtensible w16cex:durableId="10C0DF0A" w16cex:dateUtc="2026-07-26T23:45:00Z"/>
  <w16cex:commentExtensible w16cex:durableId="416A2EEE" w16cex:dateUtc="2026-07-26T23:46:00Z"/>
  <w16cex:commentExtensible w16cex:durableId="34EE5102" w16cex:dateUtc="2026-07-26T23:46:00Z"/>
  <w16cex:commentExtensible w16cex:durableId="08EF6670" w16cex:dateUtc="2026-07-26T23:47:00Z"/>
  <w16cex:commentExtensible w16cex:durableId="03BCABF0" w16cex:dateUtc="2026-07-26T23:48:00Z"/>
  <w16cex:commentExtensible w16cex:durableId="2930FE42" w16cex:dateUtc="2026-07-26T23:49:00Z"/>
  <w16cex:commentExtensible w16cex:durableId="02C941A5" w16cex:dateUtc="2026-07-26T23:51:00Z"/>
  <w16cex:commentExtensible w16cex:durableId="68FC935D" w16cex:dateUtc="2026-07-26T23:52:00Z"/>
  <w16cex:commentExtensible w16cex:durableId="520B0298" w16cex:dateUtc="2026-07-26T2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B6054D" w16cid:durableId="615E35E9"/>
  <w16cid:commentId w16cid:paraId="445BA673" w16cid:durableId="756ABCE3"/>
  <w16cid:commentId w16cid:paraId="593D3278" w16cid:durableId="5550D78E"/>
  <w16cid:commentId w16cid:paraId="3E52EF60" w16cid:durableId="3416D269"/>
  <w16cid:commentId w16cid:paraId="6264C8B4" w16cid:durableId="61D36585"/>
  <w16cid:commentId w16cid:paraId="7A7891C9" w16cid:durableId="4F2B1378"/>
  <w16cid:commentId w16cid:paraId="131AC80D" w16cid:durableId="10C0DF0A"/>
  <w16cid:commentId w16cid:paraId="43C506E1" w16cid:durableId="416A2EEE"/>
  <w16cid:commentId w16cid:paraId="4A4139D0" w16cid:durableId="34EE5102"/>
  <w16cid:commentId w16cid:paraId="6085ED8D" w16cid:durableId="08EF6670"/>
  <w16cid:commentId w16cid:paraId="3D740522" w16cid:durableId="03BCABF0"/>
  <w16cid:commentId w16cid:paraId="634A3C17" w16cid:durableId="2930FE42"/>
  <w16cid:commentId w16cid:paraId="31B41440" w16cid:durableId="02C941A5"/>
  <w16cid:commentId w16cid:paraId="5670145F" w16cid:durableId="68FC935D"/>
  <w16cid:commentId w16cid:paraId="6DC20E27" w16cid:durableId="520B02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14D26" w14:textId="77777777" w:rsidR="006A2C95" w:rsidRDefault="006A2C95">
      <w:pPr>
        <w:spacing w:after="0" w:line="240" w:lineRule="auto"/>
      </w:pPr>
      <w:r>
        <w:separator/>
      </w:r>
    </w:p>
  </w:endnote>
  <w:endnote w:type="continuationSeparator" w:id="0">
    <w:p w14:paraId="68EF0267" w14:textId="77777777" w:rsidR="006A2C95" w:rsidRDefault="006A2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346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D168" w14:textId="77777777" w:rsidR="006A2C95" w:rsidRDefault="006A2C95">
      <w:r>
        <w:separator/>
      </w:r>
    </w:p>
  </w:footnote>
  <w:footnote w:type="continuationSeparator" w:id="0">
    <w:p w14:paraId="61107F84" w14:textId="77777777" w:rsidR="006A2C95" w:rsidRDefault="006A2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Dingwall">
    <w15:presenceInfo w15:providerId="AD" w15:userId="S::jdingwall@uvic.ca::ccdbfeb0-b1e6-4dca-9372-b108e55a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7510F"/>
    <w:rsid w:val="002211CD"/>
    <w:rsid w:val="00322077"/>
    <w:rsid w:val="003520DA"/>
    <w:rsid w:val="003842D7"/>
    <w:rsid w:val="00403A7E"/>
    <w:rsid w:val="00517230"/>
    <w:rsid w:val="006A2C95"/>
    <w:rsid w:val="006E4209"/>
    <w:rsid w:val="00762553"/>
    <w:rsid w:val="00771EE4"/>
    <w:rsid w:val="007E7E6A"/>
    <w:rsid w:val="00881261"/>
    <w:rsid w:val="00884C2D"/>
    <w:rsid w:val="00A45C4C"/>
    <w:rsid w:val="00B2450E"/>
    <w:rsid w:val="00BF0BAC"/>
    <w:rsid w:val="00C15184"/>
    <w:rsid w:val="00C62A3D"/>
    <w:rsid w:val="00DF030A"/>
    <w:rsid w:val="00E045BE"/>
    <w:rsid w:val="00E41401"/>
    <w:rsid w:val="00E425A9"/>
    <w:rsid w:val="00E54EA7"/>
    <w:rsid w:val="00E710E6"/>
    <w:rsid w:val="00EC6023"/>
    <w:rsid w:val="00F46B3E"/>
    <w:rsid w:val="00FA3B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AB5E4"/>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900" Type="http://schemas.openxmlformats.org/officeDocument/2006/relationships/image" Target="media/image_fig5_placehol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11244</Words>
  <Characters>64095</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75189</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2</cp:revision>
  <dcterms:created xsi:type="dcterms:W3CDTF">2026-07-27T00:00:00Z</dcterms:created>
  <dcterms:modified xsi:type="dcterms:W3CDTF">2026-07-27T00:00:00Z</dcterms:modified>
</cp:coreProperties>
</file>