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highlights"/>
    <w:p>
      <w:pPr>
        <w:pStyle w:val="Heading1"/>
      </w:pPr>
      <w:r>
        <w:t xml:space="preserve">Highlights</w:t>
      </w:r>
    </w:p>
    <w:p>
      <w:pPr>
        <w:pStyle w:val="Compact"/>
        <w:numPr>
          <w:ilvl w:val="0"/>
          <w:numId w:val="1001"/>
        </w:numPr>
      </w:pPr>
      <w:r>
        <w:t xml:space="preserve">Herring spawning left a local but heterogeneous bird-checklist signature.</w:t>
      </w:r>
    </w:p>
    <w:p>
      <w:pPr>
        <w:pStyle w:val="Compact"/>
        <w:numPr>
          <w:ilvl w:val="0"/>
          <w:numId w:val="1001"/>
        </w:numPr>
      </w:pPr>
      <w:r>
        <w:t xml:space="preserve">Surf Scoter and Short-billed Gull responses recurred across both regions.</w:t>
      </w:r>
    </w:p>
    <w:p>
      <w:pPr>
        <w:pStyle w:val="Compact"/>
        <w:numPr>
          <w:ilvl w:val="0"/>
          <w:numId w:val="1001"/>
        </w:numPr>
      </w:pPr>
      <w:r>
        <w:t xml:space="preserve">Event timing did not follow one community-wide resource-pulse trajectory.</w:t>
      </w:r>
    </w:p>
    <w:p>
      <w:pPr>
        <w:pStyle w:val="Compact"/>
        <w:numPr>
          <w:ilvl w:val="0"/>
          <w:numId w:val="1001"/>
        </w:numPr>
      </w:pPr>
      <w:r>
        <w:t xml:space="preserve">Matched WCVI sensitivities preserved 15 of 16 coefficient directions.</w:t>
      </w:r>
    </w:p>
    <w:p>
      <w:pPr>
        <w:pStyle w:val="Compact"/>
        <w:numPr>
          <w:ilvl w:val="0"/>
          <w:numId w:val="1001"/>
        </w:numPr>
      </w:pPr>
      <w:r>
        <w:t xml:space="preserve">A non-null specificity panel limits simple taxon-specific interpretation.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2026-07-22T19:10:36Z</dcterms:created>
  <dcterms:modified xsi:type="dcterms:W3CDTF">2026-07-22T19:10:36Z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