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F77E6" w14:textId="77777777" w:rsidR="008C5E5E" w:rsidRDefault="00C303FF">
      <w:pPr>
        <w:pStyle w:val="Title"/>
      </w:pPr>
      <w:r>
        <w:t>Spatiotemporal associations between coastal birds and Pacific herring spawning in British Columbia</w:t>
      </w:r>
    </w:p>
    <w:p w14:paraId="6BE77E28" w14:textId="77777777" w:rsidR="008C5E5E" w:rsidRDefault="00C303FF">
      <w:pPr>
        <w:pStyle w:val="Subtitle"/>
      </w:pPr>
      <w:r>
        <w:t>Full-length Article</w:t>
      </w:r>
    </w:p>
    <w:p w14:paraId="2ADFA8F0" w14:textId="77777777" w:rsidR="008C5E5E" w:rsidRDefault="00C303FF">
      <w:pPr>
        <w:pStyle w:val="Author"/>
      </w:pPr>
      <w:r>
        <w:t>Jacob T. Dingwall</w:t>
      </w:r>
    </w:p>
    <w:p w14:paraId="6160C1F2" w14:textId="77777777" w:rsidR="008C5E5E" w:rsidRDefault="00C303FF">
      <w:pPr>
        <w:pStyle w:val="FirstParagraph"/>
      </w:pPr>
      <w:r>
        <w:rPr>
          <w:b/>
          <w:bCs/>
        </w:rPr>
        <w:t>Affiliation:</w:t>
      </w:r>
      <w:r>
        <w:t xml:space="preserve"> University of Victoria, [AUTHOR TO SUPPLY: full postal address], Canada</w:t>
      </w:r>
      <w:r>
        <w:br/>
      </w:r>
      <w:r>
        <w:rPr>
          <w:b/>
          <w:bCs/>
        </w:rPr>
        <w:t>Corresponding author:</w:t>
      </w:r>
      <w:r>
        <w:t xml:space="preserve"> Jacob T. Dingwall; dingwalljake@gmail.com; [AUTHOR TO SUPPLY: telephone number]</w:t>
      </w:r>
      <w:r>
        <w:br/>
      </w:r>
      <w:r>
        <w:rPr>
          <w:b/>
          <w:bCs/>
        </w:rPr>
        <w:t>ORCID:</w:t>
      </w:r>
      <w:r>
        <w:t xml:space="preserve"> 0009-0007-8389-6947</w:t>
      </w:r>
    </w:p>
    <w:p w14:paraId="57FD5B0C" w14:textId="77777777" w:rsidR="008C5E5E" w:rsidRDefault="00C303FF">
      <w:pPr>
        <w:pStyle w:val="Heading1"/>
      </w:pPr>
      <w:bookmarkStart w:id="0" w:name="abstract"/>
      <w:r>
        <w:t>1. Abstract</w:t>
      </w:r>
    </w:p>
    <w:p w14:paraId="2D9AB80C" w14:textId="77777777" w:rsidR="008C5E5E" w:rsidRDefault="00C303FF">
      <w:pPr>
        <w:pStyle w:val="FirstParagraph"/>
      </w:pPr>
      <w:r>
        <w:t>Pacific herring (</w:t>
      </w:r>
      <w:r>
        <w:rPr>
          <w:i/>
          <w:iCs/>
        </w:rPr>
        <w:t>Clupea pallasii</w:t>
      </w:r>
      <w:r>
        <w:t>) spawning creates a brief, spatially concentrated coastal resource pulse. Whether this pulse leaves a temporally localized, taxon-specific signature in community-science observations remains unresolved. We tested whether herring-associated birds were reported more often and in higher positive counts near spawn, associations concentrated in spawn and egg-availability windows, focal responses exceeded a prespecified specificity panel, and the strongest patterns recurred across regions. We linked complete eBi</w:t>
      </w:r>
      <w:r>
        <w:t>rd checklists to event-level Fisheries and Oceans Canada spawn records and used mixed models adjusted for effort, observer, year, location, and event structure. Analyses included 217,200 Strait of Georgia and 8,584 West Coast Vancouver Island checklist events. Near-spawn associations varied among taxa, guilds, outcomes, regions, and event windows. Surf Scoter and Short-billed Gull showed the clearest pattern: detection and conditional positive-count coefficients were positive in both regions. Event-window c</w:t>
      </w:r>
      <w:r>
        <w:t>oefficients did not form a single resource-pulse trajectory. Matched spatial and observer sensitivities generally preserved direction, and shifted-exposure placebos were null after Benjamini-Hochberg adjustment. The Strait of Georgia specificity panel was non-null for Gadwall (beta = 0.234, 95% CI 0.132–0.337; q = 7.28 × 10</w:t>
      </w:r>
      <w:r>
        <w:rPr>
          <w:vertAlign w:val="superscript"/>
        </w:rPr>
        <w:t>-6</w:t>
      </w:r>
      <w:r>
        <w:t>) and Northern Shoveler (beta = 0.628, 0.527–0.729; q = 6.56 × 10</w:t>
      </w:r>
      <w:r>
        <w:rPr>
          <w:vertAlign w:val="superscript"/>
        </w:rPr>
        <w:t>-34</w:t>
      </w:r>
      <w:r>
        <w:t>). Pacific herring spawning therefore left a detectable but heterogeneous and not uniformly taxon-specific signature in eligible submitted checklists. The results support a partial and qualified resource-pulse interpretation, not a causal effect or population-level change.</w:t>
      </w:r>
    </w:p>
    <w:p w14:paraId="23937249" w14:textId="77777777" w:rsidR="008C5E5E" w:rsidRDefault="00C303FF">
      <w:pPr>
        <w:pStyle w:val="BodyText"/>
      </w:pPr>
      <w:r>
        <w:rPr>
          <w:b/>
          <w:bCs/>
        </w:rPr>
        <w:t>Keywords:</w:t>
      </w:r>
      <w:r>
        <w:t xml:space="preserve"> Pacific herring; eBird; community science; coastal birds; resource pulse; mixed models; falsification analysis</w:t>
      </w:r>
    </w:p>
    <w:p w14:paraId="6A9430C2" w14:textId="77777777" w:rsidR="008C5E5E" w:rsidRDefault="00C303FF">
      <w:pPr>
        <w:pStyle w:val="Heading1"/>
      </w:pPr>
      <w:bookmarkStart w:id="1" w:name="introduction"/>
      <w:bookmarkEnd w:id="0"/>
      <w:r>
        <w:lastRenderedPageBreak/>
        <w:t>2. Introduction</w:t>
      </w:r>
    </w:p>
    <w:p w14:paraId="521F854D" w14:textId="77777777" w:rsidR="008C5E5E" w:rsidRDefault="00C303FF">
      <w:pPr>
        <w:pStyle w:val="FirstParagraph"/>
      </w:pPr>
      <w:r>
        <w:t>Pacific herring spawning is an unusually concentrated marine resource pulse. Over a short spring interval, adults and deposited eggs create prey and carrion subsidies in shallow coastal habitats, potentially changing where birds forage and aggregate. The pulse is spatially patchy, varies among years, and moves through biologically distinct phases from pre-spawn arrival to active spawning, egg availability, and post-spawn decay [</w:t>
      </w:r>
      <w:hyperlink w:anchor="ref-haegele1985">
        <w:r>
          <w:rPr>
            <w:rStyle w:val="Hyperlink"/>
          </w:rPr>
          <w:t>1</w:t>
        </w:r>
      </w:hyperlink>
      <w:r>
        <w:t>–</w:t>
      </w:r>
      <w:hyperlink w:anchor="ref-grinnell2023">
        <w:r>
          <w:rPr>
            <w:rStyle w:val="Hyperlink"/>
          </w:rPr>
          <w:t>5</w:t>
        </w:r>
      </w:hyperlink>
      <w:r>
        <w:t>]</w:t>
      </w:r>
      <w:r>
        <w:t>. That combination of high local intensity and short duration makes herring spawn a useful system for asking whether mobile consumers track ephemeral resources.</w:t>
      </w:r>
    </w:p>
    <w:p w14:paraId="1E49BA5C" w14:textId="77777777" w:rsidR="008C5E5E" w:rsidRDefault="00C303FF">
      <w:pPr>
        <w:pStyle w:val="BodyText"/>
      </w:pPr>
      <w:r>
        <w:t>Resource pulses can reorganize coastal food webs over periods much shorter than conventional monitoring intervals. Their effects depend not only on the amount of material released but also on access: eggs occur at particular depths and substrates, adult fish move through nearshore waters, and tides or weather alter when resources can be used. Mobile predators may consequently concentrate near a pulse, change flock size without changing occurrence, or respond at different stages. A regional analysis must the</w:t>
      </w:r>
      <w:r>
        <w:t>refore retain spatial proximity, temporal phase, taxon identity, and response component rather than reducing spawning to a single annual index.</w:t>
      </w:r>
    </w:p>
    <w:p w14:paraId="0D7F17AB" w14:textId="77777777" w:rsidR="008C5E5E" w:rsidRDefault="00C303FF">
      <w:pPr>
        <w:pStyle w:val="BodyText"/>
      </w:pPr>
      <w:r>
        <w:t>Field studies provide strong reasons to expect a bird response. Waterbirds aggregate near spawning areas, consume roe or adult herring, alter foraging behavior, and move in relation to spawn timing [</w:t>
      </w:r>
      <w:hyperlink w:anchor="ref-haegele1993">
        <w:r>
          <w:rPr>
            <w:rStyle w:val="Hyperlink"/>
          </w:rPr>
          <w:t>6</w:t>
        </w:r>
      </w:hyperlink>
      <w:r>
        <w:t>–</w:t>
      </w:r>
      <w:hyperlink w:anchor="ref-lok2012">
        <w:r>
          <w:rPr>
            <w:rStyle w:val="Hyperlink"/>
          </w:rPr>
          <w:t>11</w:t>
        </w:r>
      </w:hyperlink>
      <w:r>
        <w:t>]</w:t>
      </w:r>
      <w:r>
        <w:t>. Scoters can exploit attached roe, gulls can use roe and mixed shoreline subsidies, and piscivores or scavengers may respond to adult fish, carcasses, or displaced prey. These mechanisms also predict heterogeneity: taxa differ in diet, diving ability, migration timing, habitat access, and flocking behavior. A short resource pulse should therefore generate a structured community signature rather than a universal increase in every species.</w:t>
      </w:r>
    </w:p>
    <w:p w14:paraId="5FBBB018" w14:textId="77777777" w:rsidR="008C5E5E" w:rsidRDefault="00C303FF">
      <w:pPr>
        <w:pStyle w:val="BodyText"/>
      </w:pPr>
      <w:r>
        <w:t>Most direct evidence comes from focused locations or particular taxa. Those studies establish ecological plausibility but leave open whether the signal can be detected across a large, irregular coastline and an observation network not designed around spawning. At that scale, regional repetition is valuable because the same biological mechanism must appear against different coastline geometry, observer participation, and monitoring intensity. Failure to repeat can also be informative: it may identify ecologi</w:t>
      </w:r>
      <w:r>
        <w:t>cal context dependence, insufficient precision, or mismatched exposure rather than simply a failed hypothesis.</w:t>
      </w:r>
    </w:p>
    <w:p w14:paraId="3E5F72AB" w14:textId="77777777" w:rsidR="008C5E5E" w:rsidRDefault="00C303FF">
      <w:pPr>
        <w:pStyle w:val="BodyText"/>
      </w:pPr>
      <w:r>
        <w:t>The unresolved question is whether local responses documented at particular sites scale to a consistent, time-localized, and taxon-specific pattern across regions. A genuine resource-pulse signature should be strongest near recorded spawning, should vary through biologically relevant windows, and should be most coherent for taxa with plausible links to herring. Regional recurrence would strengthen that interpretation, whereas negative, imprecise, or region-specific responses would reveal important limits. S</w:t>
      </w:r>
      <w:r>
        <w:t>ite-based studies motivate these expectations but cannot alone establish a broad-scale checklist signature or a regional population response</w:t>
      </w:r>
      <w:r>
        <w:t xml:space="preserve"> [</w:t>
      </w:r>
      <w:hyperlink w:anchor="ref-kelly2018">
        <w:r>
          <w:rPr>
            <w:rStyle w:val="Hyperlink"/>
          </w:rPr>
          <w:t>12</w:t>
        </w:r>
      </w:hyperlink>
      <w:r>
        <w:t>].</w:t>
      </w:r>
    </w:p>
    <w:p w14:paraId="6EBEDDD0" w14:textId="77777777" w:rsidR="008C5E5E" w:rsidRDefault="00C303FF">
      <w:pPr>
        <w:pStyle w:val="BodyText"/>
      </w:pPr>
      <w:r>
        <w:lastRenderedPageBreak/>
        <w:t>Complete eBird checklists offer broad temporal and spatial coverage together with effort metadata and an explicit statement that observers reported all species detected [</w:t>
      </w:r>
      <w:hyperlink w:anchor="ref-sullivan2009">
        <w:r>
          <w:rPr>
            <w:rStyle w:val="Hyperlink"/>
          </w:rPr>
          <w:t>13</w:t>
        </w:r>
      </w:hyperlink>
      <w:r>
        <w:t>,</w:t>
      </w:r>
      <w:hyperlink w:anchor="ref-kelling2019">
        <w:r>
          <w:rPr>
            <w:rStyle w:val="Hyperlink"/>
          </w:rPr>
          <w:t>14</w:t>
        </w:r>
      </w:hyperlink>
      <w:r>
        <w:t>]</w:t>
      </w:r>
      <w:r>
        <w:t>. This creates an opportunity to link bird observations directly to recorded spawn events while distinguishing whether a taxon was reported from how many individuals were reported after detection. The same open participation complicates ecological specificity: observers choose sites and dates, accessible shorelines receive disproportionate effort, and birders may visit known spawn events. Effort, observer, spatial, and calendar adjustment can reduce measured differences but cannot remove every site-selectio</w:t>
      </w:r>
      <w:r>
        <w:t>n or checklist-submission mechanism</w:t>
      </w:r>
      <w:r>
        <w:t xml:space="preserve"> [</w:t>
      </w:r>
      <w:hyperlink w:anchor="ref-johnston2018">
        <w:r>
          <w:rPr>
            <w:rStyle w:val="Hyperlink"/>
          </w:rPr>
          <w:t>15</w:t>
        </w:r>
      </w:hyperlink>
      <w:r>
        <w:t>,</w:t>
      </w:r>
      <w:hyperlink w:anchor="ref-johnston2021">
        <w:r>
          <w:rPr>
            <w:rStyle w:val="Hyperlink"/>
          </w:rPr>
          <w:t>16</w:t>
        </w:r>
      </w:hyperlink>
      <w:r>
        <w:t>]. A comparison with taxa lacking a verified direct spawn mechanism is therefore biologically informative, not merely a technical diagnostic.</w:t>
      </w:r>
    </w:p>
    <w:p w14:paraId="2B5070A5" w14:textId="77777777" w:rsidR="008C5E5E" w:rsidRDefault="00C303FF">
      <w:pPr>
        <w:pStyle w:val="BodyText"/>
      </w:pPr>
      <w:r>
        <w:t xml:space="preserve">We asked: </w:t>
      </w:r>
      <w:r>
        <w:rPr>
          <w:b/>
          <w:bCs/>
        </w:rPr>
        <w:t>Does the short-lived Pacific herring spawn pulse produce a spatially local, temporally structured, and taxon-specific signature in coastal bird checklists?</w:t>
      </w:r>
      <w:r>
        <w:t xml:space="preserve"> </w:t>
      </w:r>
      <w:r>
        <w:t>We linked event-level Fisheries and Oceans Canada (DFO) spawn information to eligible complete eBird checklists in the Strait of Georgia (SoG) and West Coast Vancouver Island (WCVI). The primary estimand was the association between recorded active-near exposure and checklist detection or positive numeric count conditional on detection. It describes eligible submitted checklists rather than a causal effect, population abundance, biomass, occupancy, migration, or individual movement.</w:t>
      </w:r>
    </w:p>
    <w:p w14:paraId="47FE3BFD" w14:textId="77777777" w:rsidR="008C5E5E" w:rsidRDefault="00C303FF">
      <w:pPr>
        <w:pStyle w:val="Heading2"/>
      </w:pPr>
      <w:bookmarkStart w:id="2" w:name="biologically-motivated-predictions"/>
      <w:r>
        <w:t>2.1 Biologically motivated predictions</w:t>
      </w:r>
    </w:p>
    <w:p w14:paraId="7F502EC6" w14:textId="77777777" w:rsidR="008C5E5E" w:rsidRDefault="00C303FF">
      <w:pPr>
        <w:pStyle w:val="FirstParagraph"/>
      </w:pPr>
      <w:r>
        <w:t>The frozen scientific framework prespecified positive near-spawn responses, temporal localization around spawn and egg availability, mechanism-based guild differences, and a null-mechanism specificity panel. It did not register the following four labels verbatim as a single directional hypothesis family. We therefore treat them as biologically motivated predictions evaluated with registered analyses:</w:t>
      </w:r>
    </w:p>
    <w:p w14:paraId="421F6847" w14:textId="77777777" w:rsidR="008C5E5E" w:rsidRDefault="00C303FF">
      <w:pPr>
        <w:pStyle w:val="BodyText"/>
      </w:pPr>
      <w:r>
        <w:rPr>
          <w:b/>
          <w:bCs/>
        </w:rPr>
        <w:t>H1 - Focal response.</w:t>
      </w:r>
      <w:r>
        <w:t xml:space="preserve"> </w:t>
      </w:r>
      <w:r>
        <w:t>Bird taxa and guilds with established or plausible links to herring spawning should have higher checklist detection and conditional positive counts near recorded active spawn.</w:t>
      </w:r>
    </w:p>
    <w:p w14:paraId="49F0397E" w14:textId="77777777" w:rsidR="008C5E5E" w:rsidRDefault="00C303FF">
      <w:pPr>
        <w:pStyle w:val="BodyText"/>
      </w:pPr>
      <w:r>
        <w:rPr>
          <w:b/>
          <w:bCs/>
        </w:rPr>
        <w:t>H2 - Temporal localization.</w:t>
      </w:r>
      <w:r>
        <w:t xml:space="preserve"> Associations consistent with a short-lived resource pulse should be concentrated in biologically relevant spawn and egg-availability windows rather than occurring uniformly before and after recorded events.</w:t>
      </w:r>
    </w:p>
    <w:p w14:paraId="1FDA7E7A" w14:textId="77777777" w:rsidR="008C5E5E" w:rsidRDefault="00C303FF">
      <w:pPr>
        <w:pStyle w:val="BodyText"/>
      </w:pPr>
      <w:r>
        <w:rPr>
          <w:b/>
          <w:bCs/>
        </w:rPr>
        <w:t>H3 - Ecological specificity.</w:t>
      </w:r>
      <w:r>
        <w:t xml:space="preserve"> </w:t>
      </w:r>
      <w:r>
        <w:t>Focal herring-associated taxa should show stronger or more coherent associations than the prespecified Gadwall and Northern Shoveler specificity panel.</w:t>
      </w:r>
    </w:p>
    <w:p w14:paraId="1C32D0C9" w14:textId="77777777" w:rsidR="008C5E5E" w:rsidRDefault="00C303FF">
      <w:pPr>
        <w:pStyle w:val="BodyText"/>
      </w:pPr>
      <w:r>
        <w:rPr>
          <w:b/>
          <w:bCs/>
        </w:rPr>
        <w:t>H4 - Regional repeatability.</w:t>
      </w:r>
      <w:r>
        <w:t xml:space="preserve"> The strongest focal associations should recur in direction across SoG and WCVI, although magnitude and precision may differ.</w:t>
      </w:r>
    </w:p>
    <w:p w14:paraId="648066EA" w14:textId="77777777" w:rsidR="008C5E5E" w:rsidRDefault="00C303FF">
      <w:r>
        <w:br w:type="page"/>
      </w:r>
    </w:p>
    <w:p w14:paraId="2CF90C2E" w14:textId="77777777" w:rsidR="008C5E5E" w:rsidRDefault="00C303FF">
      <w:pPr>
        <w:pStyle w:val="BodyText"/>
      </w:pPr>
      <w:r>
        <w:rPr>
          <w:b/>
          <w:bCs/>
        </w:rPr>
        <w:t>Table 1. Biological predictions and observed evidence.</w:t>
      </w:r>
      <w:r>
        <w:t xml:space="preserve"> Prediction-level conclusions summarize registered analyses; they do not replace complete coefficient reporting.</w:t>
      </w:r>
    </w:p>
    <w:tbl>
      <w:tblPr>
        <w:tblStyle w:val="Table"/>
        <w:tblW w:w="5000" w:type="pct"/>
        <w:tblLayout w:type="fixed"/>
        <w:tblLook w:val="0020" w:firstRow="1" w:lastRow="0" w:firstColumn="0" w:lastColumn="0" w:noHBand="0" w:noVBand="0"/>
      </w:tblPr>
      <w:tblGrid>
        <w:gridCol w:w="2394"/>
        <w:gridCol w:w="2394"/>
        <w:gridCol w:w="2394"/>
        <w:gridCol w:w="2394"/>
      </w:tblGrid>
      <w:tr w:rsidR="008C5E5E" w14:paraId="0A2CDF81" w14:textId="77777777" w:rsidTr="008C5E5E">
        <w:trPr>
          <w:cnfStyle w:val="100000000000" w:firstRow="1" w:lastRow="0" w:firstColumn="0" w:lastColumn="0" w:oddVBand="0" w:evenVBand="0" w:oddHBand="0" w:evenHBand="0" w:firstRowFirstColumn="0" w:firstRowLastColumn="0" w:lastRowFirstColumn="0" w:lastRowLastColumn="0"/>
          <w:tblHeader/>
        </w:trPr>
        <w:tc>
          <w:tcPr>
            <w:tcW w:w="1980" w:type="dxa"/>
          </w:tcPr>
          <w:p w14:paraId="69550D23" w14:textId="77777777" w:rsidR="008C5E5E" w:rsidRDefault="00C303FF">
            <w:pPr>
              <w:pStyle w:val="Compact"/>
            </w:pPr>
            <w:r>
              <w:t>Prediction</w:t>
            </w:r>
          </w:p>
        </w:tc>
        <w:tc>
          <w:tcPr>
            <w:tcW w:w="1980" w:type="dxa"/>
          </w:tcPr>
          <w:p w14:paraId="7EE5DC0A" w14:textId="77777777" w:rsidR="008C5E5E" w:rsidRDefault="00C303FF">
            <w:pPr>
              <w:pStyle w:val="Compact"/>
            </w:pPr>
            <w:r>
              <w:t>Registered evidence used</w:t>
            </w:r>
          </w:p>
        </w:tc>
        <w:tc>
          <w:tcPr>
            <w:tcW w:w="1980" w:type="dxa"/>
          </w:tcPr>
          <w:p w14:paraId="53377427" w14:textId="77777777" w:rsidR="008C5E5E" w:rsidRDefault="00C303FF">
            <w:pPr>
              <w:pStyle w:val="Compact"/>
            </w:pPr>
            <w:r>
              <w:t>Observed result</w:t>
            </w:r>
          </w:p>
        </w:tc>
        <w:tc>
          <w:tcPr>
            <w:tcW w:w="1980" w:type="dxa"/>
          </w:tcPr>
          <w:p w14:paraId="116FD436" w14:textId="77777777" w:rsidR="008C5E5E" w:rsidRDefault="00C303FF">
            <w:pPr>
              <w:pStyle w:val="Compact"/>
            </w:pPr>
            <w:r>
              <w:t>Conclusion</w:t>
            </w:r>
          </w:p>
        </w:tc>
      </w:tr>
      <w:tr w:rsidR="008C5E5E" w14:paraId="7AB88ABB" w14:textId="77777777">
        <w:tc>
          <w:tcPr>
            <w:tcW w:w="1980" w:type="dxa"/>
          </w:tcPr>
          <w:p w14:paraId="76872111" w14:textId="77777777" w:rsidR="008C5E5E" w:rsidRDefault="00C303FF">
            <w:pPr>
              <w:pStyle w:val="Compact"/>
            </w:pPr>
            <w:r>
              <w:t>H1 - Focal response</w:t>
            </w:r>
          </w:p>
        </w:tc>
        <w:tc>
          <w:tcPr>
            <w:tcW w:w="1980" w:type="dxa"/>
          </w:tcPr>
          <w:p w14:paraId="390C74C6" w14:textId="77777777" w:rsidR="008C5E5E" w:rsidRDefault="00C303FF">
            <w:pPr>
              <w:pStyle w:val="Compact"/>
            </w:pPr>
            <w:r>
              <w:t>Active-near guild and priority-taxon detection and conditional-count coefficients</w:t>
            </w:r>
          </w:p>
        </w:tc>
        <w:tc>
          <w:tcPr>
            <w:tcW w:w="1980" w:type="dxa"/>
          </w:tcPr>
          <w:p w14:paraId="2DE8A37A" w14:textId="77777777" w:rsidR="008C5E5E" w:rsidRDefault="00C303FF">
            <w:pPr>
              <w:pStyle w:val="Compact"/>
            </w:pPr>
            <w:r>
              <w:t>Several plausible guilds increased near spawn, but signs and support varied; Surf Scoter and Short-billed Gull were positive in both regions and outcomes</w:t>
            </w:r>
          </w:p>
        </w:tc>
        <w:tc>
          <w:tcPr>
            <w:tcW w:w="1980" w:type="dxa"/>
          </w:tcPr>
          <w:p w14:paraId="50D4471A" w14:textId="77777777" w:rsidR="008C5E5E" w:rsidRDefault="00C303FF">
            <w:pPr>
              <w:pStyle w:val="Compact"/>
            </w:pPr>
            <w:r>
              <w:t>Partly supported</w:t>
            </w:r>
          </w:p>
        </w:tc>
      </w:tr>
      <w:tr w:rsidR="008C5E5E" w14:paraId="38C52807" w14:textId="77777777">
        <w:tc>
          <w:tcPr>
            <w:tcW w:w="1980" w:type="dxa"/>
          </w:tcPr>
          <w:p w14:paraId="14AF236B" w14:textId="77777777" w:rsidR="008C5E5E" w:rsidRDefault="00C303FF">
            <w:pPr>
              <w:pStyle w:val="Compact"/>
            </w:pPr>
            <w:r>
              <w:t>H2 - Temporal localization</w:t>
            </w:r>
          </w:p>
        </w:tc>
        <w:tc>
          <w:tcPr>
            <w:tcW w:w="1980" w:type="dxa"/>
          </w:tcPr>
          <w:p w14:paraId="1DEE8089" w14:textId="77777777" w:rsidR="008C5E5E" w:rsidRDefault="00C303FF">
            <w:pPr>
              <w:pStyle w:val="Compact"/>
            </w:pPr>
            <w:r>
              <w:t>Five registered event windows for eight guilds, two regions, and two outcomes</w:t>
            </w:r>
          </w:p>
        </w:tc>
        <w:tc>
          <w:tcPr>
            <w:tcW w:w="1980" w:type="dxa"/>
          </w:tcPr>
          <w:p w14:paraId="61C5D83E" w14:textId="77777777" w:rsidR="008C5E5E" w:rsidRDefault="00C303FF">
            <w:pPr>
              <w:pStyle w:val="Compact"/>
            </w:pPr>
            <w:r>
              <w:t>Coefficients varied by window, taxon, outcome, and region; no single community-wide pulse trajectory emerged</w:t>
            </w:r>
          </w:p>
        </w:tc>
        <w:tc>
          <w:tcPr>
            <w:tcW w:w="1980" w:type="dxa"/>
          </w:tcPr>
          <w:p w14:paraId="7E059F82" w14:textId="77777777" w:rsidR="008C5E5E" w:rsidRDefault="00C303FF">
            <w:pPr>
              <w:pStyle w:val="Compact"/>
            </w:pPr>
            <w:r>
              <w:t>Structured but not supported in its simple form</w:t>
            </w:r>
          </w:p>
        </w:tc>
      </w:tr>
      <w:tr w:rsidR="008C5E5E" w14:paraId="6FB31777" w14:textId="77777777">
        <w:tc>
          <w:tcPr>
            <w:tcW w:w="1980" w:type="dxa"/>
          </w:tcPr>
          <w:p w14:paraId="7E9D5A4C" w14:textId="77777777" w:rsidR="008C5E5E" w:rsidRDefault="00C303FF">
            <w:pPr>
              <w:pStyle w:val="Compact"/>
            </w:pPr>
            <w:r>
              <w:t>H3 - Ecological specificity</w:t>
            </w:r>
          </w:p>
        </w:tc>
        <w:tc>
          <w:tcPr>
            <w:tcW w:w="1980" w:type="dxa"/>
          </w:tcPr>
          <w:p w14:paraId="759E19EE" w14:textId="77777777" w:rsidR="008C5E5E" w:rsidRDefault="00C303FF">
            <w:pPr>
              <w:pStyle w:val="Compact"/>
            </w:pPr>
            <w:r>
              <w:t>SoG detection coefficients compared with prespecified Gadwall and Northern Shoveler panel</w:t>
            </w:r>
          </w:p>
        </w:tc>
        <w:tc>
          <w:tcPr>
            <w:tcW w:w="1980" w:type="dxa"/>
          </w:tcPr>
          <w:p w14:paraId="4D55B745" w14:textId="77777777" w:rsidR="008C5E5E" w:rsidRDefault="00C303FF">
            <w:pPr>
              <w:pStyle w:val="Compact"/>
            </w:pPr>
            <w:r>
              <w:t>Both specificity taxa were non-null, revealing a broader shared near-spawn signal</w:t>
            </w:r>
          </w:p>
        </w:tc>
        <w:tc>
          <w:tcPr>
            <w:tcW w:w="1980" w:type="dxa"/>
          </w:tcPr>
          <w:p w14:paraId="6C64BCFD" w14:textId="77777777" w:rsidR="008C5E5E" w:rsidRDefault="00C303FF">
            <w:pPr>
              <w:pStyle w:val="Compact"/>
            </w:pPr>
            <w:r>
              <w:t>Not supported as a clean specificity contrast</w:t>
            </w:r>
          </w:p>
        </w:tc>
      </w:tr>
      <w:tr w:rsidR="008C5E5E" w14:paraId="6BE5740E" w14:textId="77777777">
        <w:tc>
          <w:tcPr>
            <w:tcW w:w="1980" w:type="dxa"/>
          </w:tcPr>
          <w:p w14:paraId="44981D40" w14:textId="77777777" w:rsidR="008C5E5E" w:rsidRDefault="00C303FF">
            <w:pPr>
              <w:pStyle w:val="Compact"/>
            </w:pPr>
            <w:r>
              <w:t>H4 - Regional repeatability</w:t>
            </w:r>
          </w:p>
        </w:tc>
        <w:tc>
          <w:tcPr>
            <w:tcW w:w="1980" w:type="dxa"/>
          </w:tcPr>
          <w:p w14:paraId="1AA7052E" w14:textId="77777777" w:rsidR="008C5E5E" w:rsidRDefault="00C303FF">
            <w:pPr>
              <w:pStyle w:val="Compact"/>
            </w:pPr>
            <w:r>
              <w:t>Direction of focal coefficients in SoG and WCVI</w:t>
            </w:r>
          </w:p>
        </w:tc>
        <w:tc>
          <w:tcPr>
            <w:tcW w:w="1980" w:type="dxa"/>
          </w:tcPr>
          <w:p w14:paraId="147E82E4" w14:textId="77777777" w:rsidR="008C5E5E" w:rsidRDefault="00C303FF">
            <w:pPr>
              <w:pStyle w:val="Compact"/>
            </w:pPr>
            <w:r>
              <w:t>Surf Scoter and Short-billed Gull were positive in both regions and outcomes; other responses were less consistent</w:t>
            </w:r>
          </w:p>
        </w:tc>
        <w:tc>
          <w:tcPr>
            <w:tcW w:w="1980" w:type="dxa"/>
          </w:tcPr>
          <w:p w14:paraId="54701BC0" w14:textId="77777777" w:rsidR="008C5E5E" w:rsidRDefault="00C303FF">
            <w:pPr>
              <w:pStyle w:val="Compact"/>
            </w:pPr>
            <w:r>
              <w:t>Supported for the strongest focal taxa</w:t>
            </w:r>
          </w:p>
        </w:tc>
      </w:tr>
    </w:tbl>
    <w:p w14:paraId="5CA23F16" w14:textId="77777777" w:rsidR="008C5E5E" w:rsidRDefault="00C303FF">
      <w:pPr>
        <w:pStyle w:val="BodyText"/>
      </w:pPr>
      <w:r>
        <w:rPr>
          <w:noProof/>
        </w:rPr>
        <w:drawing>
          <wp:inline distT="0" distB="0" distL="0" distR="0" wp14:anchorId="195F9E89" wp14:editId="0451BC13">
            <wp:extent cx="5334000" cy="3111499"/>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Figure_1.png"/>
                    <pic:cNvPicPr>
                      <a:picLocks noChangeAspect="1" noChangeArrowheads="1"/>
                    </pic:cNvPicPr>
                  </pic:nvPicPr>
                  <pic:blipFill>
                    <a:blip r:embed="rId7"/>
                    <a:stretch>
                      <a:fillRect/>
                    </a:stretch>
                  </pic:blipFill>
                  <pic:spPr bwMode="auto">
                    <a:xfrm>
                      <a:off x="0" y="0"/>
                      <a:ext cx="5334000" cy="3111499"/>
                    </a:xfrm>
                    <a:prstGeom prst="rect">
                      <a:avLst/>
                    </a:prstGeom>
                    <a:noFill/>
                    <a:ln w="9525">
                      <a:noFill/>
                      <a:headEnd/>
                      <a:tailEnd/>
                    </a:ln>
                  </pic:spPr>
                </pic:pic>
              </a:graphicData>
            </a:graphic>
          </wp:inline>
        </w:drawing>
      </w:r>
    </w:p>
    <w:p w14:paraId="575B0E86" w14:textId="77777777" w:rsidR="008C5E5E" w:rsidRDefault="00C303FF">
      <w:pPr>
        <w:pStyle w:val="BodyText"/>
      </w:pPr>
      <w:r>
        <w:rPr>
          <w:b/>
          <w:bCs/>
        </w:rPr>
        <w:t>Figure 1. Scientific hypotheses and event-linked checklist design.</w:t>
      </w:r>
      <w:r>
        <w:t xml:space="preserve"> The conceptual geography is privacy-safe. Recorded spawn defines near and reference shoreline conditions and discrete biological windows; focal bird responses are compared with a prespecified specificity panel. The figure states predictions, not observed effect sizes.</w:t>
      </w:r>
    </w:p>
    <w:p w14:paraId="5B491B38" w14:textId="77777777" w:rsidR="008C5E5E" w:rsidRDefault="00C303FF">
      <w:pPr>
        <w:pStyle w:val="Heading1"/>
      </w:pPr>
      <w:bookmarkStart w:id="3" w:name="methods"/>
      <w:bookmarkEnd w:id="1"/>
      <w:bookmarkEnd w:id="2"/>
      <w:r>
        <w:t>3. Methods</w:t>
      </w:r>
    </w:p>
    <w:p w14:paraId="1EA62CCE" w14:textId="77777777" w:rsidR="008C5E5E" w:rsidRDefault="00C303FF">
      <w:pPr>
        <w:pStyle w:val="Heading2"/>
      </w:pPr>
      <w:bookmarkStart w:id="4" w:name="study-system-and-regional-frames"/>
      <w:r>
        <w:t>3.1 Study system and regional frames</w:t>
      </w:r>
    </w:p>
    <w:p w14:paraId="68119F2B" w14:textId="77777777" w:rsidR="008C5E5E" w:rsidRDefault="00C303FF">
      <w:pPr>
        <w:pStyle w:val="FirstParagraph"/>
      </w:pPr>
      <w:r>
        <w:t>The study linked complete eBird checklists to recorded Pacific herring-spawn events along the British Columbia coast. SoG observations from 2005-2025 formed the primary regional frame, and WCVI observations from 2015-2025 formed a candidate-primary frame selected from response-free coverage criteria. Central Coast and North observations were retained as descriptive contexts. The two primary regions differ in coastline geometry, monitoring density, accessibility, and observer composition, so regional recurre</w:t>
      </w:r>
      <w:r>
        <w:t>nce was evaluated without treating region as interchangeable replication.</w:t>
      </w:r>
    </w:p>
    <w:p w14:paraId="071427A4" w14:textId="77777777" w:rsidR="008C5E5E" w:rsidRDefault="00C303FF">
      <w:pPr>
        <w:pStyle w:val="Heading2"/>
      </w:pPr>
      <w:bookmarkStart w:id="5" w:name="X622ce40cc4d319d87c56f79a2eee71d0dbb92f9"/>
      <w:bookmarkEnd w:id="4"/>
      <w:r>
        <w:t>3.2 Complete checklists and bird-response outcomes</w:t>
      </w:r>
    </w:p>
    <w:p w14:paraId="2B416B16" w14:textId="77777777" w:rsidR="008C5E5E" w:rsidRDefault="00C303FF">
      <w:pPr>
        <w:pStyle w:val="FirstParagraph"/>
      </w:pPr>
      <w:r>
        <w:t>The eBird source was EBD_relMay-2026, restricted to response years through 2025 [</w:t>
      </w:r>
      <w:hyperlink w:anchor="ref-ebird_ebd">
        <w:r>
          <w:rPr>
            <w:rStyle w:val="Hyperlink"/>
          </w:rPr>
          <w:t>17</w:t>
        </w:r>
      </w:hyperlink>
      <w:r>
        <w:t>]. Eligible observations were complete stationary or traveling checklists lasting 5-300 minutes, covering no more than 5 km, and submitted by groups of one to ten observers. The checklist was the analytical row.</w:t>
      </w:r>
    </w:p>
    <w:p w14:paraId="07B600CA" w14:textId="77777777" w:rsidR="008C5E5E" w:rsidRDefault="00C303FF">
      <w:pPr>
        <w:pStyle w:val="BodyText"/>
      </w:pPr>
      <w:r>
        <w:t xml:space="preserve">We modeled two complementary outcomes. Detection indicated whether an eligible complete checklist reported a taxon or guild. Conditional positive count was the log numeric count among detected checklists with a finite positive value. An unquantified </w:t>
      </w:r>
      <w:r>
        <w:rPr>
          <w:rStyle w:val="VerbatimChar"/>
        </w:rPr>
        <w:t>X</w:t>
      </w:r>
      <w:r>
        <w:t xml:space="preserve"> </w:t>
      </w:r>
      <w:r>
        <w:t>contributed to detection but not count; lower-bound reports, ambiguous records, and structurally unknown responses remained distinct. Thus, detection concerns reporting at least one bird, whereas conditional count concerns reported flock size after a numeric detection. Neither estimates absolute abundance or biomass.</w:t>
      </w:r>
    </w:p>
    <w:p w14:paraId="6C48F808" w14:textId="77777777" w:rsidR="008C5E5E" w:rsidRDefault="00C303FF">
      <w:pPr>
        <w:pStyle w:val="Heading2"/>
      </w:pPr>
      <w:bookmarkStart w:id="6" w:name="event-level-herring-exposure"/>
      <w:bookmarkEnd w:id="5"/>
      <w:r>
        <w:t>3.3 Event-level herring exposure</w:t>
      </w:r>
    </w:p>
    <w:p w14:paraId="46604304" w14:textId="77777777" w:rsidR="008C5E5E" w:rsidRDefault="00C303FF">
      <w:pPr>
        <w:pStyle w:val="FirstParagraph"/>
      </w:pPr>
      <w:r>
        <w:t>The exposure source was the official Pacific Herring Spawn Index Data [</w:t>
      </w:r>
      <w:hyperlink w:anchor="ref-grinnell2023">
        <w:r>
          <w:rPr>
            <w:rStyle w:val="Hyperlink"/>
          </w:rPr>
          <w:t>5</w:t>
        </w:r>
      </w:hyperlink>
      <w:r>
        <w:t>,</w:t>
      </w:r>
      <w:hyperlink w:anchor="ref-dfo_spawn_data">
        <w:r>
          <w:rPr>
            <w:rStyle w:val="Hyperlink"/>
          </w:rPr>
          <w:t>18</w:t>
        </w:r>
      </w:hyperlink>
      <w:r>
        <w:t>]</w:t>
      </w:r>
      <w:r>
        <w:t>. Checklists were linked to recorded event locations using registered distance strata and to five discrete biological windows: immediate pre-spawn, spawn start, early egg, late egg, and post-spawn. The primary contrast compared recorded active-near exposure with the registered reference condition. When events overlapped, all eligible links contributed additively within one checklist row; checklists were not duplicated by event.</w:t>
      </w:r>
    </w:p>
    <w:p w14:paraId="75F7D0E2" w14:textId="77777777" w:rsidR="008C5E5E" w:rsidRDefault="00C303FF">
      <w:pPr>
        <w:pStyle w:val="BodyText"/>
      </w:pPr>
      <w:r>
        <w:t>Surveyed-positive, surveyed-negative, and unmonitored-unknown herring states remained distinct. Missing components and absent records were not coded as zero or surveyed negatives. The DFO index is a relative spawn index, not absolute biomass, and incomplete monitoring or uncertain timing can misclassify recorded biological exposure.</w:t>
      </w:r>
    </w:p>
    <w:p w14:paraId="3F15658A" w14:textId="77777777" w:rsidR="008C5E5E" w:rsidRDefault="00C303FF">
      <w:pPr>
        <w:pStyle w:val="Heading2"/>
      </w:pPr>
      <w:bookmarkStart w:id="7" w:name="hypothesis-linked-models-and-adjustment"/>
      <w:bookmarkEnd w:id="6"/>
      <w:r>
        <w:t>3.4 Hypothesis-linked models and adjustment</w:t>
      </w:r>
    </w:p>
    <w:p w14:paraId="32E5274A" w14:textId="77777777" w:rsidR="008C5E5E" w:rsidRDefault="00C303FF">
      <w:pPr>
        <w:pStyle w:val="FirstParagraph"/>
      </w:pPr>
      <w:r>
        <w:t>Registered mixed models estimated guild and focal-species associations with active-near exposure and discrete event windows. Detection used binomial-logit models; conditional positive count used Gaussian models of log count among positive numeric reports, with a registered zero-truncated negative-binomial sensitivity. Models adjusted for checklist protocol, duration, distance traveled, observer count, year, region-period, event time, and distance stratum, with random intercepts for herring-event block, obse</w:t>
      </w:r>
      <w:r>
        <w:t>rver cluster, and generalized location cluster</w:t>
      </w:r>
      <w:r>
        <w:t xml:space="preserve"> [</w:t>
      </w:r>
      <w:hyperlink w:anchor="ref-bates2015">
        <w:r>
          <w:rPr>
            <w:rStyle w:val="Hyperlink"/>
          </w:rPr>
          <w:t>19</w:t>
        </w:r>
      </w:hyperlink>
      <w:r>
        <w:t>]. These terms address measured effort and clustering but do not eliminate unmeasured site selection or checklist submission.</w:t>
      </w:r>
    </w:p>
    <w:p w14:paraId="1C2118A7" w14:textId="77777777" w:rsidR="008C5E5E" w:rsidRDefault="00C303FF">
      <w:pPr>
        <w:pStyle w:val="BodyText"/>
      </w:pPr>
      <w:r>
        <w:t>Guild models tested community organization by feeding mechanism, whereas priority-taxon models retained species-level contrasts that broad guild averages could obscure. Coefficients above zero indicate higher modeled detection or conditional positive count on recorded active-near checklists, on the relevant link scale. Confidence intervals describe model-based uncertainty, and BH q-values distinguish multiplicity-adjusted support from nominal p-values. Coefficient magnitude was not converted to a population</w:t>
      </w:r>
      <w:r>
        <w:t xml:space="preserve"> change, because checklist selection and the two-part response prevent that interpretation.</w:t>
      </w:r>
    </w:p>
    <w:p w14:paraId="3CBB7F2F" w14:textId="77777777" w:rsidR="008C5E5E" w:rsidRDefault="00C303FF">
      <w:pPr>
        <w:pStyle w:val="BodyText"/>
      </w:pPr>
      <w:r>
        <w:t>H1 was evaluated from active-near coefficients for registered guilds and focal taxa. H2 used the complete five-window event-time family. H4 compared direction across SoG and WCVI, with magnitude and uncertainty retained rather than pooled into one coast-wide response. All prespecified models were reported regardless of sign.</w:t>
      </w:r>
    </w:p>
    <w:p w14:paraId="000AF09D" w14:textId="77777777" w:rsidR="008C5E5E" w:rsidRDefault="00C303FF">
      <w:pPr>
        <w:pStyle w:val="Heading2"/>
      </w:pPr>
      <w:bookmarkStart w:id="8" w:name="Xbe7b374e5e6f2eda09beaa57c3d4f7f3e5bb342"/>
      <w:bookmarkEnd w:id="7"/>
      <w:r>
        <w:t>3.5 Specificity, sensitivity, multiplicity, and synthesis</w:t>
      </w:r>
    </w:p>
    <w:p w14:paraId="3EBD75E7" w14:textId="77777777" w:rsidR="008C5E5E" w:rsidRDefault="00C303FF">
      <w:pPr>
        <w:pStyle w:val="FirstParagraph"/>
      </w:pPr>
      <w:r>
        <w:t>H3 used a prespecified SoG detection-only specificity panel containing Gadwall and Northern Shoveler. These taxa lacked a verified direct spawn mechanism but were not assumed to be guaranteed biological nonresponders. Positive panel coefficients would indicate that shared seasonality, shoreline access, checklist submission, site selection, or exposure classification contributed to the same recorded near-spawn signal.</w:t>
      </w:r>
    </w:p>
    <w:p w14:paraId="0560E19C" w14:textId="77777777" w:rsidR="008C5E5E" w:rsidRDefault="00C303FF">
      <w:pPr>
        <w:pStyle w:val="BodyText"/>
      </w:pPr>
      <w:r>
        <w:t>Matched WCVI analyses restricted exposure geometry to 2 km or removed the pre-defined dominant observer cluster. Response-blind shifted-exposure placebos reassigned complete linked exposure bundles within region-year strata. Detailed transformation, validation, and singular-fit procedures are in the supplement. Benjamini-Hochberg (BH) adjustment was applied within coherent model, region, and outcome families [</w:t>
      </w:r>
      <w:hyperlink w:anchor="ref-benjamini1995">
        <w:r>
          <w:rPr>
            <w:rStyle w:val="Hyperlink"/>
          </w:rPr>
          <w:t>20</w:t>
        </w:r>
      </w:hyperlink>
      <w:r>
        <w:t>]</w:t>
      </w:r>
      <w:r>
        <w:t>. Corrected partial pooling grouped only compatible evidence, retained every individual estimate, and preserved model-specific BH q-values. Singular warnings remained explicit; no headline claim depended exclusively on a singular component.</w:t>
      </w:r>
    </w:p>
    <w:p w14:paraId="70BBD1BF" w14:textId="77777777" w:rsidR="008C5E5E" w:rsidRDefault="00C303FF">
      <w:pPr>
        <w:pStyle w:val="Heading1"/>
      </w:pPr>
      <w:bookmarkStart w:id="9" w:name="results"/>
      <w:bookmarkEnd w:id="3"/>
      <w:bookmarkEnd w:id="8"/>
      <w:r>
        <w:t>4. Results</w:t>
      </w:r>
    </w:p>
    <w:p w14:paraId="706A6F70" w14:textId="77777777" w:rsidR="008C5E5E" w:rsidRDefault="00C303FF">
      <w:pPr>
        <w:pStyle w:val="FirstParagraph"/>
      </w:pPr>
      <w:r>
        <w:t>The primary analyses included 217,200 eligible SoG checklist events and 8,584 eligible WCVI checklist events. The descriptive Central Coast and North frames contained 861 and 9,007 checklist events, respectively (Supplementary Table S11). All 128 protected sensitivity components completed; manuscript preparation used only frozen, privacy-safe aggregate outputs.</w:t>
      </w:r>
    </w:p>
    <w:p w14:paraId="3E4220FC" w14:textId="77777777" w:rsidR="008C5E5E" w:rsidRDefault="00C303FF">
      <w:pPr>
        <w:pStyle w:val="Heading2"/>
      </w:pPr>
      <w:bookmarkStart w:id="10" w:name="Xaa523d5b7327a11fb230335128933cc834d0352"/>
      <w:r>
        <w:t>4.1 Focal taxa and guilds showed heterogeneous near-spawn associations</w:t>
      </w:r>
    </w:p>
    <w:p w14:paraId="09F842C9" w14:textId="77777777" w:rsidR="008C5E5E" w:rsidRDefault="00C303FF">
      <w:pPr>
        <w:pStyle w:val="FirstParagraph"/>
      </w:pPr>
      <w:r>
        <w:t>Among the seven ecological guilds in SoG, 5 detection coefficients were positive and 2 were negative; all 7 had BH q &lt; 0.05. For positive numeric count conditional on detection, 6 coefficients were positive and 1 negative, with 6 of 7 BH q-values below 0.05. The complete pattern therefore includes both positive and negative associations rather than a universal increase (Figure 2).</w:t>
      </w:r>
    </w:p>
    <w:p w14:paraId="1426C754" w14:textId="77777777" w:rsidR="008C5E5E" w:rsidRDefault="00C303FF">
      <w:pPr>
        <w:pStyle w:val="BodyText"/>
      </w:pPr>
      <w:r>
        <w:t>WCVI estimates were less uniform. Detection coefficients were positive for 4 of 7 ecological guilds and BH q &lt; 0.05 for 3; conditional positive-count coefficients were positive for 6 of 7 guilds and BH q &lt; 0.05 for 6. Wider intervals and sparse geometry were most evident in the WCVI component and sensitivity fits.</w:t>
      </w:r>
    </w:p>
    <w:p w14:paraId="2EB99EBC" w14:textId="77777777" w:rsidR="008C5E5E" w:rsidRDefault="00C303FF">
      <w:pPr>
        <w:pStyle w:val="BodyText"/>
      </w:pPr>
      <w:r>
        <w:t>At the priority-species level, Surf Scoter and Short-billed Gull had positive detection and positive-count coefficients in both primary regions. Glaucous-winged Gull had a positive SoG detection coefficient but an imprecise WCVI detection coefficient, while its conditional count coefficients were positive in both regions. Harlequin Duck and White-winged Scoter were component- or region-dependent (Table 2 and Supplementary Figure S1).</w:t>
      </w:r>
    </w:p>
    <w:p w14:paraId="220B5523" w14:textId="77777777" w:rsidR="008C5E5E" w:rsidRDefault="00C303FF">
      <w:pPr>
        <w:pStyle w:val="BodyText"/>
      </w:pPr>
      <w:r>
        <w:t>These coefficients give H1 a qualified answer. Near-spawn increases occurred for several biologically plausible guilds, but the mix of positive and negative coefficients rejects a universal community response. In SoG, five of seven ecological guild-detection coefficients were positive and two were negative, with all seven BH-adjusted coefficients differing from zero; six of seven conditional-count coefficients were positive and one was negative, with six differing from zero after adjustment. WCVI was more v</w:t>
      </w:r>
      <w:r>
        <w:t>ariable: four of seven ecological guild-detection coefficients were positive and three were BH-significant, whereas six of seven conditional-count coefficients were positive and six were BH-significant. Detection and positive count therefore carried related but non-identical ecological information.</w:t>
      </w:r>
    </w:p>
    <w:p w14:paraId="27CDD417" w14:textId="77777777" w:rsidR="008C5E5E" w:rsidRDefault="00C303FF">
      <w:pPr>
        <w:pStyle w:val="BodyText"/>
      </w:pPr>
      <w:r>
        <w:rPr>
          <w:noProof/>
        </w:rPr>
        <w:drawing>
          <wp:inline distT="0" distB="0" distL="0" distR="0" wp14:anchorId="4EA8D142" wp14:editId="3D70BF32">
            <wp:extent cx="5334000" cy="3379816"/>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ure_2.png"/>
                    <pic:cNvPicPr>
                      <a:picLocks noChangeAspect="1" noChangeArrowheads="1"/>
                    </pic:cNvPicPr>
                  </pic:nvPicPr>
                  <pic:blipFill>
                    <a:blip r:embed="rId8"/>
                    <a:stretch>
                      <a:fillRect/>
                    </a:stretch>
                  </pic:blipFill>
                  <pic:spPr bwMode="auto">
                    <a:xfrm>
                      <a:off x="0" y="0"/>
                      <a:ext cx="5334000" cy="3379816"/>
                    </a:xfrm>
                    <a:prstGeom prst="rect">
                      <a:avLst/>
                    </a:prstGeom>
                    <a:noFill/>
                    <a:ln w="9525">
                      <a:noFill/>
                      <a:headEnd/>
                      <a:tailEnd/>
                    </a:ln>
                  </pic:spPr>
                </pic:pic>
              </a:graphicData>
            </a:graphic>
          </wp:inline>
        </w:drawing>
      </w:r>
    </w:p>
    <w:p w14:paraId="1E4E4EEC" w14:textId="77777777" w:rsidR="008C5E5E" w:rsidRDefault="00C303FF">
      <w:pPr>
        <w:pStyle w:val="BodyText"/>
      </w:pPr>
      <w:r>
        <w:rPr>
          <w:b/>
          <w:bCs/>
        </w:rPr>
        <w:t>Figure 2. Primary registered guild associations.</w:t>
      </w:r>
      <w:r>
        <w:t xml:space="preserve"> Coefficients are log odds for checklist detection and log positive count conditional on a numeric detection. Estimates above zero indicate higher modeled outcomes on recorded active-near checklists; they are not causal effects.</w:t>
      </w:r>
    </w:p>
    <w:p w14:paraId="3D368209" w14:textId="77777777" w:rsidR="008C5E5E" w:rsidRDefault="00C303FF">
      <w:pPr>
        <w:pStyle w:val="BodyText"/>
      </w:pPr>
      <w:r>
        <w:rPr>
          <w:b/>
          <w:bCs/>
        </w:rPr>
        <w:t>Table 2. Priority-A species coefficients.</w:t>
      </w:r>
      <w:r>
        <w:t xml:space="preserve"> Estimates are log odds for detection or log positive numeric count conditional on detection. BH q-values are model-family adjusted; </w:t>
      </w:r>
      <w:r>
        <w:rPr>
          <w:rStyle w:val="VerbatimChar"/>
        </w:rPr>
        <w:t>n</w:t>
      </w:r>
      <w:r>
        <w:t xml:space="preserve"> is the component checklist count.</w:t>
      </w:r>
    </w:p>
    <w:tbl>
      <w:tblPr>
        <w:tblStyle w:val="Table"/>
        <w:tblW w:w="5000" w:type="pct"/>
        <w:tblLayout w:type="fixed"/>
        <w:tblLook w:val="0020" w:firstRow="1" w:lastRow="0" w:firstColumn="0" w:lastColumn="0" w:noHBand="0" w:noVBand="0"/>
      </w:tblPr>
      <w:tblGrid>
        <w:gridCol w:w="2394"/>
        <w:gridCol w:w="2394"/>
        <w:gridCol w:w="2394"/>
        <w:gridCol w:w="2394"/>
      </w:tblGrid>
      <w:tr w:rsidR="008C5E5E" w14:paraId="06812466" w14:textId="77777777" w:rsidTr="008C5E5E">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2765FD" w14:textId="77777777" w:rsidR="008C5E5E" w:rsidRDefault="00C303FF">
            <w:pPr>
              <w:pStyle w:val="Compact"/>
            </w:pPr>
            <w:r>
              <w:t>Region</w:t>
            </w:r>
          </w:p>
        </w:tc>
        <w:tc>
          <w:tcPr>
            <w:tcW w:w="1980" w:type="dxa"/>
          </w:tcPr>
          <w:p w14:paraId="55808921" w14:textId="77777777" w:rsidR="008C5E5E" w:rsidRDefault="00C303FF">
            <w:pPr>
              <w:pStyle w:val="Compact"/>
            </w:pPr>
            <w:r>
              <w:t>Species</w:t>
            </w:r>
          </w:p>
        </w:tc>
        <w:tc>
          <w:tcPr>
            <w:tcW w:w="1980" w:type="dxa"/>
          </w:tcPr>
          <w:p w14:paraId="3F199852" w14:textId="77777777" w:rsidR="008C5E5E" w:rsidRDefault="00C303FF">
            <w:pPr>
              <w:pStyle w:val="Compact"/>
            </w:pPr>
            <w:r>
              <w:t>Detection</w:t>
            </w:r>
          </w:p>
        </w:tc>
        <w:tc>
          <w:tcPr>
            <w:tcW w:w="1980" w:type="dxa"/>
          </w:tcPr>
          <w:p w14:paraId="53F559C1" w14:textId="77777777" w:rsidR="008C5E5E" w:rsidRDefault="00C303FF">
            <w:pPr>
              <w:pStyle w:val="Compact"/>
            </w:pPr>
            <w:r>
              <w:t>Positive numeric count (detected)</w:t>
            </w:r>
          </w:p>
        </w:tc>
      </w:tr>
      <w:tr w:rsidR="008C5E5E" w14:paraId="1ADA071C" w14:textId="77777777">
        <w:tc>
          <w:tcPr>
            <w:tcW w:w="1980" w:type="dxa"/>
          </w:tcPr>
          <w:p w14:paraId="235E0405" w14:textId="77777777" w:rsidR="008C5E5E" w:rsidRDefault="00C303FF">
            <w:pPr>
              <w:pStyle w:val="Compact"/>
            </w:pPr>
            <w:r>
              <w:t>SoG</w:t>
            </w:r>
          </w:p>
        </w:tc>
        <w:tc>
          <w:tcPr>
            <w:tcW w:w="1980" w:type="dxa"/>
          </w:tcPr>
          <w:p w14:paraId="68CCF8AC" w14:textId="77777777" w:rsidR="008C5E5E" w:rsidRDefault="00C303FF">
            <w:pPr>
              <w:pStyle w:val="Compact"/>
            </w:pPr>
            <w:r>
              <w:t>Glaucous-winged Gull</w:t>
            </w:r>
          </w:p>
        </w:tc>
        <w:tc>
          <w:tcPr>
            <w:tcW w:w="1980" w:type="dxa"/>
          </w:tcPr>
          <w:p w14:paraId="1A6CDBEB" w14:textId="77777777" w:rsidR="008C5E5E" w:rsidRDefault="00C303FF">
            <w:pPr>
              <w:pStyle w:val="Compact"/>
            </w:pPr>
            <w:r>
              <w:t>0.58 (0.53, 0.62); q=1.25e-121; n=217,037</w:t>
            </w:r>
          </w:p>
        </w:tc>
        <w:tc>
          <w:tcPr>
            <w:tcW w:w="1980" w:type="dxa"/>
          </w:tcPr>
          <w:p w14:paraId="5D3D7C65" w14:textId="77777777" w:rsidR="008C5E5E" w:rsidRDefault="00C303FF">
            <w:pPr>
              <w:pStyle w:val="Compact"/>
            </w:pPr>
            <w:r>
              <w:t>0.22 (0.18, 0.26); q=1.51e-22; n=85,053</w:t>
            </w:r>
          </w:p>
        </w:tc>
      </w:tr>
      <w:tr w:rsidR="008C5E5E" w14:paraId="4C52C3B0" w14:textId="77777777">
        <w:tc>
          <w:tcPr>
            <w:tcW w:w="1980" w:type="dxa"/>
          </w:tcPr>
          <w:p w14:paraId="394F7D89" w14:textId="77777777" w:rsidR="008C5E5E" w:rsidRDefault="00C303FF">
            <w:pPr>
              <w:pStyle w:val="Compact"/>
            </w:pPr>
            <w:r>
              <w:t>SoG</w:t>
            </w:r>
          </w:p>
        </w:tc>
        <w:tc>
          <w:tcPr>
            <w:tcW w:w="1980" w:type="dxa"/>
          </w:tcPr>
          <w:p w14:paraId="398FCBBC" w14:textId="77777777" w:rsidR="008C5E5E" w:rsidRDefault="00C303FF">
            <w:pPr>
              <w:pStyle w:val="Compact"/>
            </w:pPr>
            <w:r>
              <w:t>Harlequin Duck</w:t>
            </w:r>
          </w:p>
        </w:tc>
        <w:tc>
          <w:tcPr>
            <w:tcW w:w="1980" w:type="dxa"/>
          </w:tcPr>
          <w:p w14:paraId="5C87B267" w14:textId="77777777" w:rsidR="008C5E5E" w:rsidRDefault="00C303FF">
            <w:pPr>
              <w:pStyle w:val="Compact"/>
            </w:pPr>
            <w:r>
              <w:t>-0.05 (-0.14, 0.05); q=0.423; n=217,200</w:t>
            </w:r>
          </w:p>
        </w:tc>
        <w:tc>
          <w:tcPr>
            <w:tcW w:w="1980" w:type="dxa"/>
          </w:tcPr>
          <w:p w14:paraId="5CD401B7" w14:textId="77777777" w:rsidR="008C5E5E" w:rsidRDefault="00C303FF">
            <w:pPr>
              <w:pStyle w:val="Compact"/>
            </w:pPr>
            <w:r>
              <w:t>0.27 (0.18, 0.37); q=6.12e-08; n=12,030</w:t>
            </w:r>
          </w:p>
        </w:tc>
      </w:tr>
      <w:tr w:rsidR="008C5E5E" w14:paraId="361A4781" w14:textId="77777777">
        <w:tc>
          <w:tcPr>
            <w:tcW w:w="1980" w:type="dxa"/>
          </w:tcPr>
          <w:p w14:paraId="1E2A1A98" w14:textId="77777777" w:rsidR="008C5E5E" w:rsidRDefault="00C303FF">
            <w:pPr>
              <w:pStyle w:val="Compact"/>
            </w:pPr>
            <w:r>
              <w:t>SoG</w:t>
            </w:r>
          </w:p>
        </w:tc>
        <w:tc>
          <w:tcPr>
            <w:tcW w:w="1980" w:type="dxa"/>
          </w:tcPr>
          <w:p w14:paraId="504B0306" w14:textId="77777777" w:rsidR="008C5E5E" w:rsidRDefault="00C303FF">
            <w:pPr>
              <w:pStyle w:val="Compact"/>
            </w:pPr>
            <w:r>
              <w:t>Short-billed Gull</w:t>
            </w:r>
          </w:p>
        </w:tc>
        <w:tc>
          <w:tcPr>
            <w:tcW w:w="1980" w:type="dxa"/>
          </w:tcPr>
          <w:p w14:paraId="68BFD3CB" w14:textId="77777777" w:rsidR="008C5E5E" w:rsidRDefault="00C303FF">
            <w:pPr>
              <w:pStyle w:val="Compact"/>
            </w:pPr>
            <w:r>
              <w:t>0.43 (0.37, 0.50); q=3.40e-39; n=217,200</w:t>
            </w:r>
          </w:p>
        </w:tc>
        <w:tc>
          <w:tcPr>
            <w:tcW w:w="1980" w:type="dxa"/>
          </w:tcPr>
          <w:p w14:paraId="222D120D" w14:textId="77777777" w:rsidR="008C5E5E" w:rsidRDefault="00C303FF">
            <w:pPr>
              <w:pStyle w:val="Compact"/>
            </w:pPr>
            <w:r>
              <w:t>0.39 (0.30, 0.48); q=6.17e-16; n=22,003</w:t>
            </w:r>
          </w:p>
        </w:tc>
      </w:tr>
      <w:tr w:rsidR="008C5E5E" w14:paraId="58E55045" w14:textId="77777777">
        <w:tc>
          <w:tcPr>
            <w:tcW w:w="1980" w:type="dxa"/>
          </w:tcPr>
          <w:p w14:paraId="2935DDFB" w14:textId="77777777" w:rsidR="008C5E5E" w:rsidRDefault="00C303FF">
            <w:pPr>
              <w:pStyle w:val="Compact"/>
            </w:pPr>
            <w:r>
              <w:t>SoG</w:t>
            </w:r>
          </w:p>
        </w:tc>
        <w:tc>
          <w:tcPr>
            <w:tcW w:w="1980" w:type="dxa"/>
          </w:tcPr>
          <w:p w14:paraId="1291AFEB" w14:textId="77777777" w:rsidR="008C5E5E" w:rsidRDefault="00C303FF">
            <w:pPr>
              <w:pStyle w:val="Compact"/>
            </w:pPr>
            <w:r>
              <w:t>Surf Scoter</w:t>
            </w:r>
          </w:p>
        </w:tc>
        <w:tc>
          <w:tcPr>
            <w:tcW w:w="1980" w:type="dxa"/>
          </w:tcPr>
          <w:p w14:paraId="7A1673A7" w14:textId="77777777" w:rsidR="008C5E5E" w:rsidRDefault="00C303FF">
            <w:pPr>
              <w:pStyle w:val="Compact"/>
            </w:pPr>
            <w:r>
              <w:t>0.19 (0.11, 0.26); q=2.62e-06; n=217,183</w:t>
            </w:r>
          </w:p>
        </w:tc>
        <w:tc>
          <w:tcPr>
            <w:tcW w:w="1980" w:type="dxa"/>
          </w:tcPr>
          <w:p w14:paraId="4A5FD118" w14:textId="77777777" w:rsidR="008C5E5E" w:rsidRDefault="00C303FF">
            <w:pPr>
              <w:pStyle w:val="Compact"/>
            </w:pPr>
            <w:r>
              <w:t>0.54 (0.42, 0.66); q=8.25e-18; n=16,632</w:t>
            </w:r>
          </w:p>
        </w:tc>
      </w:tr>
      <w:tr w:rsidR="008C5E5E" w14:paraId="1ADD895F" w14:textId="77777777">
        <w:tc>
          <w:tcPr>
            <w:tcW w:w="1980" w:type="dxa"/>
          </w:tcPr>
          <w:p w14:paraId="70455D00" w14:textId="77777777" w:rsidR="008C5E5E" w:rsidRDefault="00C303FF">
            <w:pPr>
              <w:pStyle w:val="Compact"/>
            </w:pPr>
            <w:r>
              <w:t>SoG</w:t>
            </w:r>
          </w:p>
        </w:tc>
        <w:tc>
          <w:tcPr>
            <w:tcW w:w="1980" w:type="dxa"/>
          </w:tcPr>
          <w:p w14:paraId="300DC575" w14:textId="77777777" w:rsidR="008C5E5E" w:rsidRDefault="00C303FF">
            <w:pPr>
              <w:pStyle w:val="Compact"/>
            </w:pPr>
            <w:r>
              <w:t>White-winged Scoter</w:t>
            </w:r>
          </w:p>
        </w:tc>
        <w:tc>
          <w:tcPr>
            <w:tcW w:w="1980" w:type="dxa"/>
          </w:tcPr>
          <w:p w14:paraId="1B5CE81B" w14:textId="77777777" w:rsidR="008C5E5E" w:rsidRDefault="00C303FF">
            <w:pPr>
              <w:pStyle w:val="Compact"/>
            </w:pPr>
            <w:r>
              <w:t>0.02 (-0.12, 0.15); q=0.882; n=217,199</w:t>
            </w:r>
          </w:p>
        </w:tc>
        <w:tc>
          <w:tcPr>
            <w:tcW w:w="1980" w:type="dxa"/>
          </w:tcPr>
          <w:p w14:paraId="56411C0A" w14:textId="77777777" w:rsidR="008C5E5E" w:rsidRDefault="00C303FF">
            <w:pPr>
              <w:pStyle w:val="Compact"/>
            </w:pPr>
            <w:r>
              <w:t>0.19 (-0.03, 0.40); q=0.137; n=4,706</w:t>
            </w:r>
          </w:p>
        </w:tc>
      </w:tr>
      <w:tr w:rsidR="008C5E5E" w14:paraId="1078F92A" w14:textId="77777777">
        <w:tc>
          <w:tcPr>
            <w:tcW w:w="1980" w:type="dxa"/>
          </w:tcPr>
          <w:p w14:paraId="3FEBBDE7" w14:textId="77777777" w:rsidR="008C5E5E" w:rsidRDefault="00C303FF">
            <w:pPr>
              <w:pStyle w:val="Compact"/>
            </w:pPr>
            <w:r>
              <w:t>WCVI</w:t>
            </w:r>
          </w:p>
        </w:tc>
        <w:tc>
          <w:tcPr>
            <w:tcW w:w="1980" w:type="dxa"/>
          </w:tcPr>
          <w:p w14:paraId="51E13031" w14:textId="77777777" w:rsidR="008C5E5E" w:rsidRDefault="00C303FF">
            <w:pPr>
              <w:pStyle w:val="Compact"/>
            </w:pPr>
            <w:r>
              <w:t>Glaucous-winged Gull</w:t>
            </w:r>
          </w:p>
        </w:tc>
        <w:tc>
          <w:tcPr>
            <w:tcW w:w="1980" w:type="dxa"/>
          </w:tcPr>
          <w:p w14:paraId="4702A982" w14:textId="77777777" w:rsidR="008C5E5E" w:rsidRDefault="00C303FF">
            <w:pPr>
              <w:pStyle w:val="Compact"/>
            </w:pPr>
            <w:r>
              <w:t>0.01 (-0.25, 0.26); q=0.976; n=8,568</w:t>
            </w:r>
          </w:p>
        </w:tc>
        <w:tc>
          <w:tcPr>
            <w:tcW w:w="1980" w:type="dxa"/>
          </w:tcPr>
          <w:p w14:paraId="4C2DB4AC" w14:textId="77777777" w:rsidR="008C5E5E" w:rsidRDefault="00C303FF">
            <w:pPr>
              <w:pStyle w:val="Compact"/>
            </w:pPr>
            <w:r>
              <w:t>0.94 (0.69, 1.20); q=7.03e-12; n=4,075</w:t>
            </w:r>
          </w:p>
        </w:tc>
      </w:tr>
      <w:tr w:rsidR="008C5E5E" w14:paraId="5C76F8C9" w14:textId="77777777">
        <w:tc>
          <w:tcPr>
            <w:tcW w:w="1980" w:type="dxa"/>
          </w:tcPr>
          <w:p w14:paraId="0BFB6919" w14:textId="77777777" w:rsidR="008C5E5E" w:rsidRDefault="00C303FF">
            <w:pPr>
              <w:pStyle w:val="Compact"/>
            </w:pPr>
            <w:r>
              <w:t>WCVI</w:t>
            </w:r>
          </w:p>
        </w:tc>
        <w:tc>
          <w:tcPr>
            <w:tcW w:w="1980" w:type="dxa"/>
          </w:tcPr>
          <w:p w14:paraId="46FB9755" w14:textId="77777777" w:rsidR="008C5E5E" w:rsidRDefault="00C303FF">
            <w:pPr>
              <w:pStyle w:val="Compact"/>
            </w:pPr>
            <w:r>
              <w:t>Harlequin Duck</w:t>
            </w:r>
          </w:p>
        </w:tc>
        <w:tc>
          <w:tcPr>
            <w:tcW w:w="1980" w:type="dxa"/>
          </w:tcPr>
          <w:p w14:paraId="3CE97B02" w14:textId="77777777" w:rsidR="008C5E5E" w:rsidRDefault="00C303FF">
            <w:pPr>
              <w:pStyle w:val="Compact"/>
            </w:pPr>
            <w:r>
              <w:t>0.50 (0.00, 1.00); q=0.070; n=8,584</w:t>
            </w:r>
          </w:p>
        </w:tc>
        <w:tc>
          <w:tcPr>
            <w:tcW w:w="1980" w:type="dxa"/>
          </w:tcPr>
          <w:p w14:paraId="6420E17A" w14:textId="77777777" w:rsidR="008C5E5E" w:rsidRDefault="00C303FF">
            <w:pPr>
              <w:pStyle w:val="Compact"/>
            </w:pPr>
            <w:r>
              <w:t>0.20 (-0.19, 0.58); q=0.455; n=397</w:t>
            </w:r>
          </w:p>
        </w:tc>
      </w:tr>
      <w:tr w:rsidR="008C5E5E" w14:paraId="12C60BF8" w14:textId="77777777">
        <w:tc>
          <w:tcPr>
            <w:tcW w:w="1980" w:type="dxa"/>
          </w:tcPr>
          <w:p w14:paraId="5B330D56" w14:textId="77777777" w:rsidR="008C5E5E" w:rsidRDefault="00C303FF">
            <w:pPr>
              <w:pStyle w:val="Compact"/>
            </w:pPr>
            <w:r>
              <w:t>WCVI</w:t>
            </w:r>
          </w:p>
        </w:tc>
        <w:tc>
          <w:tcPr>
            <w:tcW w:w="1980" w:type="dxa"/>
          </w:tcPr>
          <w:p w14:paraId="50937FAC" w14:textId="77777777" w:rsidR="008C5E5E" w:rsidRDefault="00C303FF">
            <w:pPr>
              <w:pStyle w:val="Compact"/>
            </w:pPr>
            <w:r>
              <w:t>Short-billed Gull</w:t>
            </w:r>
          </w:p>
        </w:tc>
        <w:tc>
          <w:tcPr>
            <w:tcW w:w="1980" w:type="dxa"/>
          </w:tcPr>
          <w:p w14:paraId="4595C4BF" w14:textId="77777777" w:rsidR="008C5E5E" w:rsidRDefault="00C303FF">
            <w:pPr>
              <w:pStyle w:val="Compact"/>
            </w:pPr>
            <w:r>
              <w:t>1.04 (0.74, 1.33); q=4.58e-11; n=8,584</w:t>
            </w:r>
          </w:p>
        </w:tc>
        <w:tc>
          <w:tcPr>
            <w:tcW w:w="1980" w:type="dxa"/>
          </w:tcPr>
          <w:p w14:paraId="1DA9B65F" w14:textId="77777777" w:rsidR="008C5E5E" w:rsidRDefault="00C303FF">
            <w:pPr>
              <w:pStyle w:val="Compact"/>
            </w:pPr>
            <w:r>
              <w:t>1.32 (0.99, 1.66); q=3.76e-13; n=1,421</w:t>
            </w:r>
          </w:p>
        </w:tc>
      </w:tr>
      <w:tr w:rsidR="008C5E5E" w14:paraId="4D29A5C1" w14:textId="77777777">
        <w:tc>
          <w:tcPr>
            <w:tcW w:w="1980" w:type="dxa"/>
          </w:tcPr>
          <w:p w14:paraId="52C5D813" w14:textId="77777777" w:rsidR="008C5E5E" w:rsidRDefault="00C303FF">
            <w:pPr>
              <w:pStyle w:val="Compact"/>
            </w:pPr>
            <w:r>
              <w:t>WCVI</w:t>
            </w:r>
          </w:p>
        </w:tc>
        <w:tc>
          <w:tcPr>
            <w:tcW w:w="1980" w:type="dxa"/>
          </w:tcPr>
          <w:p w14:paraId="0AFF2679" w14:textId="77777777" w:rsidR="008C5E5E" w:rsidRDefault="00C303FF">
            <w:pPr>
              <w:pStyle w:val="Compact"/>
            </w:pPr>
            <w:r>
              <w:t>Surf Scoter</w:t>
            </w:r>
          </w:p>
        </w:tc>
        <w:tc>
          <w:tcPr>
            <w:tcW w:w="1980" w:type="dxa"/>
          </w:tcPr>
          <w:p w14:paraId="7973B410" w14:textId="77777777" w:rsidR="008C5E5E" w:rsidRDefault="00C303FF">
            <w:pPr>
              <w:pStyle w:val="Compact"/>
            </w:pPr>
            <w:r>
              <w:t>0.97 (0.68, 1.26); q=3.45e-10; n=8,581</w:t>
            </w:r>
          </w:p>
        </w:tc>
        <w:tc>
          <w:tcPr>
            <w:tcW w:w="1980" w:type="dxa"/>
          </w:tcPr>
          <w:p w14:paraId="66CFCE49" w14:textId="77777777" w:rsidR="008C5E5E" w:rsidRDefault="00C303FF">
            <w:pPr>
              <w:pStyle w:val="Compact"/>
            </w:pPr>
            <w:r>
              <w:t>1.17 (0.79, 1.55); q=1.89e-08; n=1,857</w:t>
            </w:r>
          </w:p>
        </w:tc>
      </w:tr>
      <w:tr w:rsidR="008C5E5E" w14:paraId="15F3CB71" w14:textId="77777777">
        <w:tc>
          <w:tcPr>
            <w:tcW w:w="1980" w:type="dxa"/>
          </w:tcPr>
          <w:p w14:paraId="51C8B1C8" w14:textId="77777777" w:rsidR="008C5E5E" w:rsidRDefault="00C303FF">
            <w:pPr>
              <w:pStyle w:val="Compact"/>
            </w:pPr>
            <w:r>
              <w:t>WCVI</w:t>
            </w:r>
          </w:p>
        </w:tc>
        <w:tc>
          <w:tcPr>
            <w:tcW w:w="1980" w:type="dxa"/>
          </w:tcPr>
          <w:p w14:paraId="1B59293D" w14:textId="77777777" w:rsidR="008C5E5E" w:rsidRDefault="00C303FF">
            <w:pPr>
              <w:pStyle w:val="Compact"/>
            </w:pPr>
            <w:r>
              <w:t>White-winged Scoter</w:t>
            </w:r>
          </w:p>
        </w:tc>
        <w:tc>
          <w:tcPr>
            <w:tcW w:w="1980" w:type="dxa"/>
          </w:tcPr>
          <w:p w14:paraId="468FCBFF" w14:textId="77777777" w:rsidR="008C5E5E" w:rsidRDefault="00C303FF">
            <w:pPr>
              <w:pStyle w:val="Compact"/>
            </w:pPr>
            <w:r>
              <w:t>0.70 (0.29, 1.11); q=0.002; n=8,584</w:t>
            </w:r>
          </w:p>
        </w:tc>
        <w:tc>
          <w:tcPr>
            <w:tcW w:w="1980" w:type="dxa"/>
          </w:tcPr>
          <w:p w14:paraId="1591D061" w14:textId="77777777" w:rsidR="008C5E5E" w:rsidRDefault="00C303FF">
            <w:pPr>
              <w:pStyle w:val="Compact"/>
            </w:pPr>
            <w:r>
              <w:t>0.42 (-0.04, 0.88); q=0.157; n=701</w:t>
            </w:r>
          </w:p>
        </w:tc>
      </w:tr>
    </w:tbl>
    <w:p w14:paraId="44D07C5A" w14:textId="77777777" w:rsidR="008C5E5E" w:rsidRDefault="00C303FF">
      <w:pPr>
        <w:pStyle w:val="Heading2"/>
      </w:pPr>
      <w:bookmarkStart w:id="11" w:name="X656eb7204d9c19f67b14db5e434d9e068ae7488"/>
      <w:bookmarkEnd w:id="10"/>
      <w:r>
        <w:t>4.2 Surf Scoter and Short-billed Gull showed the clearest cross-region consistency</w:t>
      </w:r>
    </w:p>
    <w:p w14:paraId="0D3F5B6B" w14:textId="77777777" w:rsidR="008C5E5E" w:rsidRDefault="00C303FF">
      <w:pPr>
        <w:pStyle w:val="FirstParagraph"/>
      </w:pPr>
      <w:r>
        <w:t>Surf Scoter and Short-billed Gull were the only priority taxa with positive active-near coefficients in both primary regions and both response components (Table 2; Figure 4). For Surf Scoter, detection coefficients were 0.185 (95% CI 0.110-0.261) in SoG and 0.974 (0.685-1.263) in WCVI; conditional-count coefficients were 0.537 (0.418-0.655) and 1.171 (0.789-1.554), respectively. For Short-billed Gull, detection coefficients were 0.434 (0.370-0.499) in SoG and 1.035 (0.743-1.327) in WCVI; conditional-count c</w:t>
      </w:r>
      <w:r>
        <w:t>oefficients were 0.393 (0.300-0.485) and 1.324 (0.990-1.659). This directional recurrence supports H4 for the strongest focal responses, although larger WCVI coefficients do not imply a stronger regional population response because the regional observation processes and exposure geometries differ.</w:t>
      </w:r>
    </w:p>
    <w:p w14:paraId="52A2DFBA" w14:textId="77777777" w:rsidR="008C5E5E" w:rsidRDefault="00C303FF">
      <w:pPr>
        <w:pStyle w:val="BodyText"/>
      </w:pPr>
      <w:r>
        <w:rPr>
          <w:noProof/>
        </w:rPr>
        <w:drawing>
          <wp:inline distT="0" distB="0" distL="0" distR="0" wp14:anchorId="2963C26C" wp14:editId="73267A3B">
            <wp:extent cx="5334000" cy="3378199"/>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ures/Figure_4.png"/>
                    <pic:cNvPicPr>
                      <a:picLocks noChangeAspect="1" noChangeArrowheads="1"/>
                    </pic:cNvPicPr>
                  </pic:nvPicPr>
                  <pic:blipFill>
                    <a:blip r:embed="rId9"/>
                    <a:stretch>
                      <a:fillRect/>
                    </a:stretch>
                  </pic:blipFill>
                  <pic:spPr bwMode="auto">
                    <a:xfrm>
                      <a:off x="0" y="0"/>
                      <a:ext cx="5334000" cy="3378199"/>
                    </a:xfrm>
                    <a:prstGeom prst="rect">
                      <a:avLst/>
                    </a:prstGeom>
                    <a:noFill/>
                    <a:ln w="9525">
                      <a:noFill/>
                      <a:headEnd/>
                      <a:tailEnd/>
                    </a:ln>
                  </pic:spPr>
                </pic:pic>
              </a:graphicData>
            </a:graphic>
          </wp:inline>
        </w:drawing>
      </w:r>
    </w:p>
    <w:p w14:paraId="4D6DC3D4" w14:textId="77777777" w:rsidR="008C5E5E" w:rsidRDefault="00C303FF">
      <w:pPr>
        <w:pStyle w:val="BodyText"/>
      </w:pPr>
      <w:r>
        <w:rPr>
          <w:b/>
          <w:bCs/>
        </w:rPr>
        <w:t>Figure 4. Cross-region focal responses and the SoG specificity panel.</w:t>
      </w:r>
      <w:r>
        <w:t xml:space="preserve"> Surf Scoter and Short-billed Gull estimates are shown for both regions and response components. Gadwall and Northern Shoveler are detection-only SoG specificity taxa; their non-null coefficients reveal a broader shared signal and are not conditional-count tests.</w:t>
      </w:r>
    </w:p>
    <w:p w14:paraId="06FE6D04" w14:textId="77777777" w:rsidR="008C5E5E" w:rsidRDefault="00C303FF">
      <w:pPr>
        <w:pStyle w:val="Heading2"/>
      </w:pPr>
      <w:bookmarkStart w:id="12" w:name="Xfbbf587f1b5a9c22a53525fdf689641e7ab4d56"/>
      <w:bookmarkEnd w:id="11"/>
      <w:r>
        <w:t>4.3 Event timing did not follow a single resource-pulse trajectory</w:t>
      </w:r>
    </w:p>
    <w:p w14:paraId="69A8F37D" w14:textId="77777777" w:rsidR="008C5E5E" w:rsidRDefault="00C303FF">
      <w:pPr>
        <w:pStyle w:val="FirstParagraph"/>
      </w:pPr>
      <w:r>
        <w:t>The 160 registered M05 rows showed window-, guild-, outcome-, and region-specific coefficients rather than a single monotone event trajectory (Figure 3). In SoG, the immediate-pre window had BH q &lt; 0.05 for seven of eight guilds in each outcome, while the post window had seven of eight adjusted associations in each outcome and a negative median coefficient. WCVI patterns differed: detection associations were most frequent in the immediate-pre and post windows, whereas positive-count contrasts were more vari</w:t>
      </w:r>
      <w:r>
        <w:t>able. These discrete coefficients are not a continuous causal event study.</w:t>
      </w:r>
    </w:p>
    <w:p w14:paraId="1191F5BA" w14:textId="77777777" w:rsidR="008C5E5E" w:rsidRDefault="00C303FF">
      <w:pPr>
        <w:pStyle w:val="BodyText"/>
      </w:pPr>
      <w:r>
        <w:t>The 160 registered event-window coefficients supported temporal structure but not the simple form predicted by H2. In SoG, seven of eight guilds had BH-significant coefficients in the immediate-pre window for both outcomes, and seven of eight had post-window coefficients with a negative median. WCVI showed a different distribution across windows. The mixture of positive and negative coefficients, and the disagreement between regions and response components, indicates that no single monotone trajectory descr</w:t>
      </w:r>
      <w:r>
        <w:t>ibed the community. Because the windows are discrete registered contrasts, they should not be read as a continuous causal event study.</w:t>
      </w:r>
    </w:p>
    <w:p w14:paraId="278CA8F4" w14:textId="77777777" w:rsidR="008C5E5E" w:rsidRDefault="00C303FF">
      <w:pPr>
        <w:pStyle w:val="BodyText"/>
      </w:pPr>
      <w:r>
        <w:rPr>
          <w:noProof/>
        </w:rPr>
        <w:drawing>
          <wp:inline distT="0" distB="0" distL="0" distR="0" wp14:anchorId="262C10D6" wp14:editId="038EAEB3">
            <wp:extent cx="5334000" cy="378229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Figure_3.png"/>
                    <pic:cNvPicPr>
                      <a:picLocks noChangeAspect="1" noChangeArrowheads="1"/>
                    </pic:cNvPicPr>
                  </pic:nvPicPr>
                  <pic:blipFill>
                    <a:blip r:embed="rId10"/>
                    <a:stretch>
                      <a:fillRect/>
                    </a:stretch>
                  </pic:blipFill>
                  <pic:spPr bwMode="auto">
                    <a:xfrm>
                      <a:off x="0" y="0"/>
                      <a:ext cx="5334000" cy="3782290"/>
                    </a:xfrm>
                    <a:prstGeom prst="rect">
                      <a:avLst/>
                    </a:prstGeom>
                    <a:noFill/>
                    <a:ln w="9525">
                      <a:noFill/>
                      <a:headEnd/>
                      <a:tailEnd/>
                    </a:ln>
                  </pic:spPr>
                </pic:pic>
              </a:graphicData>
            </a:graphic>
          </wp:inline>
        </w:drawing>
      </w:r>
    </w:p>
    <w:p w14:paraId="5A3A5DF3" w14:textId="77777777" w:rsidR="008C5E5E" w:rsidRDefault="00C303FF">
      <w:pPr>
        <w:pStyle w:val="BodyText"/>
      </w:pPr>
      <w:r>
        <w:rPr>
          <w:b/>
          <w:bCs/>
        </w:rPr>
        <w:t>Figure 3. Registered discrete event-time coefficients.</w:t>
      </w:r>
      <w:r>
        <w:t xml:space="preserve"> Five frozen windows were modeled for each guild, region, and hurdle component. The plot displays uncertainty and includes the falsification guild; the median is descriptive and not a new pooled estimand.</w:t>
      </w:r>
    </w:p>
    <w:p w14:paraId="0C330DCB" w14:textId="77777777" w:rsidR="008C5E5E" w:rsidRDefault="00C303FF">
      <w:pPr>
        <w:pStyle w:val="Heading2"/>
      </w:pPr>
      <w:bookmarkStart w:id="13" w:name="X395b1f9e170f330d24ccdc960847bff2daa31c8"/>
      <w:bookmarkEnd w:id="12"/>
      <w:r>
        <w:t>4.4 The SoG specificity panel revealed a broader shared signal</w:t>
      </w:r>
    </w:p>
    <w:p w14:paraId="1DA4E869" w14:textId="77777777" w:rsidR="008C5E5E" w:rsidRDefault="00C303FF">
      <w:pPr>
        <w:pStyle w:val="FirstParagraph"/>
      </w:pPr>
      <w:r>
        <w:t>The prespecified SoG detection-only specificity panel was non-null for both taxa. Gadwall had beta = 0.234 (95% CI 0.132-0.337; BH q = 7.28 x 10</w:t>
      </w:r>
      <w:r>
        <w:rPr>
          <w:vertAlign w:val="superscript"/>
        </w:rPr>
        <w:t>-6</w:t>
      </w:r>
      <w:r>
        <w:t>), and Northern Shoveler had beta = 0.628 (0.527-0.729; q = 6.56 x 10</w:t>
      </w:r>
      <w:r>
        <w:rPr>
          <w:vertAlign w:val="superscript"/>
        </w:rPr>
        <w:t>-34</w:t>
      </w:r>
      <w:r>
        <w:t>) (Figure 4; Table 3). Their magnitudes overlapped the range of primary SoG guild-detection coefficients. H3 was therefore not supported as a clean contrast between focal taxa and a null panel.</w:t>
      </w:r>
    </w:p>
    <w:p w14:paraId="5A74B871" w14:textId="77777777" w:rsidR="008C5E5E" w:rsidRDefault="00C303FF">
      <w:pPr>
        <w:pStyle w:val="BodyText"/>
      </w:pPr>
      <w:r>
        <w:t>The prespecified Strait of Georgia specificity panel was non-null for Gadwall and Northern Shoveler. This indicates that recorded active-near exposure captured shared seasonal, spatial-access, checklist-submission, site-selection, or exposure-classification structure in addition to any taxon-specific ecological response. The panel therefore limits causal and simple species-specific interpretations, but does not negate the checklist-conditional associations or directly test conditional positive-count respons</w:t>
      </w:r>
      <w:r>
        <w:t>es.</w:t>
      </w:r>
    </w:p>
    <w:p w14:paraId="4AD4BF03" w14:textId="77777777" w:rsidR="008C5E5E" w:rsidRDefault="00C303FF">
      <w:pPr>
        <w:pStyle w:val="BodyText"/>
      </w:pPr>
      <w:r>
        <w:rPr>
          <w:b/>
          <w:bCs/>
        </w:rPr>
        <w:t>Table 3. Sensitivity, placebo, singular-fit, and specificity-panel summary.</w:t>
      </w:r>
      <w:r>
        <w:t xml:space="preserve"> Component-level estimates and explicit warning states are supplied in the companion CSV tables. Three headline claims include some singular-warning support, but each also has ordinary-fit or otherwise stable evidence; no headline claim depends exclusively on a singular component.</w:t>
      </w:r>
    </w:p>
    <w:tbl>
      <w:tblPr>
        <w:tblStyle w:val="Table"/>
        <w:tblW w:w="5000" w:type="pct"/>
        <w:tblLayout w:type="fixed"/>
        <w:tblLook w:val="0020" w:firstRow="1" w:lastRow="0" w:firstColumn="0" w:lastColumn="0" w:noHBand="0" w:noVBand="0"/>
      </w:tblPr>
      <w:tblGrid>
        <w:gridCol w:w="1690"/>
        <w:gridCol w:w="2253"/>
        <w:gridCol w:w="1690"/>
        <w:gridCol w:w="2253"/>
        <w:gridCol w:w="1690"/>
      </w:tblGrid>
      <w:tr w:rsidR="008C5E5E" w14:paraId="4A59BC9A" w14:textId="77777777" w:rsidTr="008C5E5E">
        <w:trPr>
          <w:cnfStyle w:val="100000000000" w:firstRow="1" w:lastRow="0" w:firstColumn="0" w:lastColumn="0" w:oddVBand="0" w:evenVBand="0" w:oddHBand="0" w:evenHBand="0" w:firstRowFirstColumn="0" w:firstRowLastColumn="0" w:lastRowFirstColumn="0" w:lastRowLastColumn="0"/>
          <w:tblHeader/>
        </w:trPr>
        <w:tc>
          <w:tcPr>
            <w:tcW w:w="1397" w:type="dxa"/>
          </w:tcPr>
          <w:p w14:paraId="5EB0A882" w14:textId="77777777" w:rsidR="008C5E5E" w:rsidRDefault="00C303FF">
            <w:pPr>
              <w:pStyle w:val="Compact"/>
            </w:pPr>
            <w:r>
              <w:t>Analysis</w:t>
            </w:r>
          </w:p>
        </w:tc>
        <w:tc>
          <w:tcPr>
            <w:tcW w:w="1863" w:type="dxa"/>
          </w:tcPr>
          <w:p w14:paraId="3A3D7BF0" w14:textId="77777777" w:rsidR="008C5E5E" w:rsidRDefault="00C303FF">
            <w:pPr>
              <w:pStyle w:val="Compact"/>
              <w:jc w:val="right"/>
            </w:pPr>
            <w:r>
              <w:t>Components</w:t>
            </w:r>
          </w:p>
        </w:tc>
        <w:tc>
          <w:tcPr>
            <w:tcW w:w="1397" w:type="dxa"/>
          </w:tcPr>
          <w:p w14:paraId="63C87190" w14:textId="77777777" w:rsidR="008C5E5E" w:rsidRDefault="00C303FF">
            <w:pPr>
              <w:pStyle w:val="Compact"/>
            </w:pPr>
            <w:r>
              <w:t>Result</w:t>
            </w:r>
          </w:p>
        </w:tc>
        <w:tc>
          <w:tcPr>
            <w:tcW w:w="1863" w:type="dxa"/>
          </w:tcPr>
          <w:p w14:paraId="1BB9972D" w14:textId="77777777" w:rsidR="008C5E5E" w:rsidRDefault="00C303FF">
            <w:pPr>
              <w:pStyle w:val="Compact"/>
              <w:jc w:val="right"/>
            </w:pPr>
            <w:r>
              <w:t>Singular warnings</w:t>
            </w:r>
          </w:p>
        </w:tc>
        <w:tc>
          <w:tcPr>
            <w:tcW w:w="1397" w:type="dxa"/>
          </w:tcPr>
          <w:p w14:paraId="39E96879" w14:textId="77777777" w:rsidR="008C5E5E" w:rsidRDefault="00C303FF">
            <w:pPr>
              <w:pStyle w:val="Compact"/>
            </w:pPr>
            <w:r>
              <w:t>Interpretation</w:t>
            </w:r>
          </w:p>
        </w:tc>
      </w:tr>
      <w:tr w:rsidR="008C5E5E" w14:paraId="022D289F" w14:textId="77777777">
        <w:tc>
          <w:tcPr>
            <w:tcW w:w="1397" w:type="dxa"/>
          </w:tcPr>
          <w:p w14:paraId="6FA54732" w14:textId="77777777" w:rsidR="008C5E5E" w:rsidRDefault="00C303FF">
            <w:pPr>
              <w:pStyle w:val="Compact"/>
            </w:pPr>
            <w:r>
              <w:t>M27/M28 whole-bundle placebos</w:t>
            </w:r>
          </w:p>
        </w:tc>
        <w:tc>
          <w:tcPr>
            <w:tcW w:w="1863" w:type="dxa"/>
          </w:tcPr>
          <w:p w14:paraId="32A92E8B" w14:textId="77777777" w:rsidR="008C5E5E" w:rsidRDefault="00C303FF">
            <w:pPr>
              <w:pStyle w:val="Compact"/>
              <w:jc w:val="right"/>
            </w:pPr>
            <w:r>
              <w:t>64</w:t>
            </w:r>
          </w:p>
        </w:tc>
        <w:tc>
          <w:tcPr>
            <w:tcW w:w="1397" w:type="dxa"/>
          </w:tcPr>
          <w:p w14:paraId="1F6B5B32" w14:textId="77777777" w:rsidR="008C5E5E" w:rsidRDefault="00C303FF">
            <w:pPr>
              <w:pStyle w:val="Compact"/>
            </w:pPr>
            <w:r>
              <w:t>0/64 BH q &lt; 0.05</w:t>
            </w:r>
          </w:p>
        </w:tc>
        <w:tc>
          <w:tcPr>
            <w:tcW w:w="1863" w:type="dxa"/>
          </w:tcPr>
          <w:p w14:paraId="749658B0" w14:textId="77777777" w:rsidR="008C5E5E" w:rsidRDefault="00C303FF">
            <w:pPr>
              <w:pStyle w:val="Compact"/>
              <w:jc w:val="right"/>
            </w:pPr>
            <w:r>
              <w:t>20</w:t>
            </w:r>
          </w:p>
        </w:tc>
        <w:tc>
          <w:tcPr>
            <w:tcW w:w="1397" w:type="dxa"/>
          </w:tcPr>
          <w:p w14:paraId="46D55BBC" w14:textId="77777777" w:rsidR="008C5E5E" w:rsidRDefault="00C303FF">
            <w:pPr>
              <w:pStyle w:val="Compact"/>
            </w:pPr>
            <w:r>
              <w:t>diagnostic; not proof of causal identification</w:t>
            </w:r>
          </w:p>
        </w:tc>
      </w:tr>
      <w:tr w:rsidR="008C5E5E" w14:paraId="582CF613" w14:textId="77777777">
        <w:tc>
          <w:tcPr>
            <w:tcW w:w="1397" w:type="dxa"/>
          </w:tcPr>
          <w:p w14:paraId="197C0FC4" w14:textId="77777777" w:rsidR="008C5E5E" w:rsidRDefault="00C303FF">
            <w:pPr>
              <w:pStyle w:val="Compact"/>
            </w:pPr>
            <w:r>
              <w:t>WCVI 2-km matched sensitivity</w:t>
            </w:r>
          </w:p>
        </w:tc>
        <w:tc>
          <w:tcPr>
            <w:tcW w:w="1863" w:type="dxa"/>
          </w:tcPr>
          <w:p w14:paraId="477587EE" w14:textId="77777777" w:rsidR="008C5E5E" w:rsidRDefault="00C303FF">
            <w:pPr>
              <w:pStyle w:val="Compact"/>
              <w:jc w:val="right"/>
            </w:pPr>
            <w:r>
              <w:t>16</w:t>
            </w:r>
          </w:p>
        </w:tc>
        <w:tc>
          <w:tcPr>
            <w:tcW w:w="1397" w:type="dxa"/>
          </w:tcPr>
          <w:p w14:paraId="02EC8903" w14:textId="77777777" w:rsidR="008C5E5E" w:rsidRDefault="00C303FF">
            <w:pPr>
              <w:pStyle w:val="Compact"/>
            </w:pPr>
            <w:r>
              <w:t>15/16 same sign as matched reference</w:t>
            </w:r>
          </w:p>
        </w:tc>
        <w:tc>
          <w:tcPr>
            <w:tcW w:w="1863" w:type="dxa"/>
          </w:tcPr>
          <w:p w14:paraId="4750D982" w14:textId="77777777" w:rsidR="008C5E5E" w:rsidRDefault="00C303FF">
            <w:pPr>
              <w:pStyle w:val="Compact"/>
              <w:jc w:val="right"/>
            </w:pPr>
            <w:r>
              <w:t>8</w:t>
            </w:r>
          </w:p>
        </w:tc>
        <w:tc>
          <w:tcPr>
            <w:tcW w:w="1397" w:type="dxa"/>
          </w:tcPr>
          <w:p w14:paraId="03B52A86" w14:textId="77777777" w:rsidR="008C5E5E" w:rsidRDefault="00C303FF">
            <w:pPr>
              <w:pStyle w:val="Compact"/>
            </w:pPr>
            <w:r>
              <w:t>qualified spatial-precision robustness</w:t>
            </w:r>
          </w:p>
        </w:tc>
      </w:tr>
      <w:tr w:rsidR="008C5E5E" w14:paraId="2D885CC2" w14:textId="77777777">
        <w:tc>
          <w:tcPr>
            <w:tcW w:w="1397" w:type="dxa"/>
          </w:tcPr>
          <w:p w14:paraId="4FE914DD" w14:textId="77777777" w:rsidR="008C5E5E" w:rsidRDefault="00C303FF">
            <w:pPr>
              <w:pStyle w:val="Compact"/>
            </w:pPr>
            <w:r>
              <w:t>WCVI dominant-observer holdout</w:t>
            </w:r>
          </w:p>
        </w:tc>
        <w:tc>
          <w:tcPr>
            <w:tcW w:w="1863" w:type="dxa"/>
          </w:tcPr>
          <w:p w14:paraId="3BD23395" w14:textId="77777777" w:rsidR="008C5E5E" w:rsidRDefault="00C303FF">
            <w:pPr>
              <w:pStyle w:val="Compact"/>
              <w:jc w:val="right"/>
            </w:pPr>
            <w:r>
              <w:t>16</w:t>
            </w:r>
          </w:p>
        </w:tc>
        <w:tc>
          <w:tcPr>
            <w:tcW w:w="1397" w:type="dxa"/>
          </w:tcPr>
          <w:p w14:paraId="0A11B80B" w14:textId="77777777" w:rsidR="008C5E5E" w:rsidRDefault="00C303FF">
            <w:pPr>
              <w:pStyle w:val="Compact"/>
            </w:pPr>
            <w:r>
              <w:t>15/16 same sign as matched reference</w:t>
            </w:r>
          </w:p>
        </w:tc>
        <w:tc>
          <w:tcPr>
            <w:tcW w:w="1863" w:type="dxa"/>
          </w:tcPr>
          <w:p w14:paraId="64CE3A76" w14:textId="77777777" w:rsidR="008C5E5E" w:rsidRDefault="00C303FF">
            <w:pPr>
              <w:pStyle w:val="Compact"/>
              <w:jc w:val="right"/>
            </w:pPr>
            <w:r>
              <w:t>9</w:t>
            </w:r>
          </w:p>
        </w:tc>
        <w:tc>
          <w:tcPr>
            <w:tcW w:w="1397" w:type="dxa"/>
          </w:tcPr>
          <w:p w14:paraId="56A5B11C" w14:textId="77777777" w:rsidR="008C5E5E" w:rsidRDefault="00C303FF">
            <w:pPr>
              <w:pStyle w:val="Compact"/>
            </w:pPr>
            <w:r>
              <w:t>qualified observer-composition robustness</w:t>
            </w:r>
          </w:p>
        </w:tc>
      </w:tr>
      <w:tr w:rsidR="008C5E5E" w14:paraId="1312B144" w14:textId="77777777">
        <w:tc>
          <w:tcPr>
            <w:tcW w:w="1397" w:type="dxa"/>
          </w:tcPr>
          <w:p w14:paraId="635B534B" w14:textId="77777777" w:rsidR="008C5E5E" w:rsidRDefault="00C303FF">
            <w:pPr>
              <w:pStyle w:val="Compact"/>
            </w:pPr>
            <w:r>
              <w:t>SoG M29 specificity panel</w:t>
            </w:r>
          </w:p>
        </w:tc>
        <w:tc>
          <w:tcPr>
            <w:tcW w:w="1863" w:type="dxa"/>
          </w:tcPr>
          <w:p w14:paraId="419755C3" w14:textId="77777777" w:rsidR="008C5E5E" w:rsidRDefault="00C303FF">
            <w:pPr>
              <w:pStyle w:val="Compact"/>
              <w:jc w:val="right"/>
            </w:pPr>
            <w:r>
              <w:t>2</w:t>
            </w:r>
          </w:p>
        </w:tc>
        <w:tc>
          <w:tcPr>
            <w:tcW w:w="1397" w:type="dxa"/>
          </w:tcPr>
          <w:p w14:paraId="65C1FACC" w14:textId="77777777" w:rsidR="008C5E5E" w:rsidRDefault="00C303FF">
            <w:pPr>
              <w:pStyle w:val="Compact"/>
            </w:pPr>
            <w:r>
              <w:t>2/2 detection coefficients BH q &lt; 0.05</w:t>
            </w:r>
          </w:p>
        </w:tc>
        <w:tc>
          <w:tcPr>
            <w:tcW w:w="1863" w:type="dxa"/>
          </w:tcPr>
          <w:p w14:paraId="5DBF3F98" w14:textId="77777777" w:rsidR="008C5E5E" w:rsidRDefault="00C303FF">
            <w:pPr>
              <w:pStyle w:val="Compact"/>
              <w:jc w:val="right"/>
            </w:pPr>
            <w:r>
              <w:t>0</w:t>
            </w:r>
          </w:p>
        </w:tc>
        <w:tc>
          <w:tcPr>
            <w:tcW w:w="1397" w:type="dxa"/>
          </w:tcPr>
          <w:p w14:paraId="0CF7A21C" w14:textId="77777777" w:rsidR="008C5E5E" w:rsidRDefault="00C303FF">
            <w:pPr>
              <w:pStyle w:val="Compact"/>
            </w:pPr>
            <w:r>
              <w:t>material warning against simple ecological specificity</w:t>
            </w:r>
          </w:p>
        </w:tc>
      </w:tr>
    </w:tbl>
    <w:p w14:paraId="4F272DCE" w14:textId="77777777" w:rsidR="008C5E5E" w:rsidRDefault="00C303FF">
      <w:pPr>
        <w:pStyle w:val="Heading2"/>
      </w:pPr>
      <w:bookmarkStart w:id="14" w:name="X401426c49e7ea4dcf7a0c26c44974b753a3a734"/>
      <w:bookmarkEnd w:id="13"/>
      <w:r>
        <w:t>4.5 Matched sensitivities supported most directions with qualification</w:t>
      </w:r>
    </w:p>
    <w:p w14:paraId="2D152934" w14:textId="77777777" w:rsidR="008C5E5E" w:rsidRDefault="00C303FF">
      <w:pPr>
        <w:pStyle w:val="FirstParagraph"/>
      </w:pPr>
      <w:r>
        <w:t xml:space="preserve">All </w:t>
      </w:r>
      <w:r>
        <w:rPr>
          <w:b/>
          <w:bCs/>
        </w:rPr>
        <w:t>128 of 128</w:t>
      </w:r>
      <w:r>
        <w:t xml:space="preserve"> </w:t>
      </w:r>
      <w:r>
        <w:t>protected sensitivity components completed: 85 ordinary completions and 43 completions with an explicit singular-fit warning; none failed. In each of the WCVI 2-km and dominant-observer comparisons, 15 of 16 components retained the sign of the matched sparse M01 reference (Figure 5). Because 23 sensitivity/reference components shown in Figure 5 were singular, this is qualified directional robustness rather than evidence that the intended random-effects structure was fully supported.</w:t>
      </w:r>
    </w:p>
    <w:p w14:paraId="1FDA82EA" w14:textId="77777777" w:rsidR="008C5E5E" w:rsidRDefault="00C303FF">
      <w:pPr>
        <w:pStyle w:val="BodyText"/>
      </w:pPr>
      <w:r>
        <w:t>The M27/M28 whole-bundle diagnostics completed all 64 components, and none had BH q &lt; 0.05 (Supplementary Figure S5). These null shifted-exposure diagnostics do not establish exchangeability or causal identification.</w:t>
      </w:r>
    </w:p>
    <w:p w14:paraId="1CDD0860" w14:textId="77777777" w:rsidR="008C5E5E" w:rsidRDefault="00C303FF">
      <w:pPr>
        <w:pStyle w:val="BodyText"/>
      </w:pPr>
      <w:r>
        <w:rPr>
          <w:noProof/>
        </w:rPr>
        <w:drawing>
          <wp:inline distT="0" distB="0" distL="0" distR="0" wp14:anchorId="13D0AB0C" wp14:editId="473EB0AB">
            <wp:extent cx="5334000" cy="23114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Figure_5.png"/>
                    <pic:cNvPicPr>
                      <a:picLocks noChangeAspect="1" noChangeArrowheads="1"/>
                    </pic:cNvPicPr>
                  </pic:nvPicPr>
                  <pic:blipFill>
                    <a:blip r:embed="rId11"/>
                    <a:stretch>
                      <a:fillRect/>
                    </a:stretch>
                  </pic:blipFill>
                  <pic:spPr bwMode="auto">
                    <a:xfrm>
                      <a:off x="0" y="0"/>
                      <a:ext cx="5334000" cy="2311400"/>
                    </a:xfrm>
                    <a:prstGeom prst="rect">
                      <a:avLst/>
                    </a:prstGeom>
                    <a:noFill/>
                    <a:ln w="9525">
                      <a:noFill/>
                      <a:headEnd/>
                      <a:tailEnd/>
                    </a:ln>
                  </pic:spPr>
                </pic:pic>
              </a:graphicData>
            </a:graphic>
          </wp:inline>
        </w:drawing>
      </w:r>
    </w:p>
    <w:p w14:paraId="66971BA5" w14:textId="77777777" w:rsidR="008C5E5E" w:rsidRDefault="00C303FF">
      <w:pPr>
        <w:pStyle w:val="BodyText"/>
      </w:pPr>
      <w:r>
        <w:rPr>
          <w:b/>
          <w:bCs/>
        </w:rPr>
        <w:t>Figure 5. WCVI matched spatial and observer sensitivities.</w:t>
      </w:r>
      <w:r>
        <w:t xml:space="preserve"> </w:t>
      </w:r>
      <w:r>
        <w:t>Each sensitivity changed one registered dimension while retaining the sparse mixed-model architecture. Singular fits are retained and disclosed, so visual agreement is qualified robustness rather than proof of a fully supported covariance structure.</w:t>
      </w:r>
    </w:p>
    <w:p w14:paraId="4E0C81CD" w14:textId="77777777" w:rsidR="008C5E5E" w:rsidRDefault="00C303FF">
      <w:pPr>
        <w:pStyle w:val="BodyText"/>
      </w:pPr>
      <w:r>
        <w:t>The 2-km and dominant-observer analyses each preserved the matched-reference sign in 15 of 16 components. The shifted-exposure placebos provided a distinct result: none of 64 matched whole-bundle components had BH q below 0.05 (Supplementary Figure S5). This combination argues against wholesale dependence on one spatial radius, one observer cluster, or arbitrary placement of the recorded exposure bundle, but it does not remove residual selection or classification mechanisms. Forty-three completed sensitivit</w:t>
      </w:r>
      <w:r>
        <w:t>y components had singular-fit warnings. Three headline claims include some singular-warning support, but each also has ordinary-fit or otherwise stable evidence; no headline claim depends exclusively on a singular component.</w:t>
      </w:r>
    </w:p>
    <w:p w14:paraId="50DC6EC9" w14:textId="77777777" w:rsidR="008C5E5E" w:rsidRDefault="00C303FF">
      <w:pPr>
        <w:pStyle w:val="BodyText"/>
      </w:pPr>
      <w:r>
        <w:t>The compatible-family repair affected synthesis only. It identified 6,562 finite historical rows in 112 families, produced 162 estimable v2 families, left 439 duplicate M11/M12 representations and 38 noncompleted rows as explicit NA, and did not change any individual estimate, interval, p-value, or BH q-value. Complete technical details are in the supplement.</w:t>
      </w:r>
    </w:p>
    <w:p w14:paraId="339302A4" w14:textId="77777777" w:rsidR="008C5E5E" w:rsidRDefault="00C303FF">
      <w:pPr>
        <w:pStyle w:val="Heading1"/>
      </w:pPr>
      <w:bookmarkStart w:id="15" w:name="discussion"/>
      <w:bookmarkEnd w:id="9"/>
      <w:bookmarkEnd w:id="14"/>
      <w:r>
        <w:t>5. Discussion</w:t>
      </w:r>
    </w:p>
    <w:p w14:paraId="29D91D74" w14:textId="77777777" w:rsidR="008C5E5E" w:rsidRDefault="00C303FF">
      <w:pPr>
        <w:pStyle w:val="Heading2"/>
      </w:pPr>
      <w:bookmarkStart w:id="16" w:name="X43aca29f8b147c2fb9cd6b8b51c9080e2d90bb9"/>
      <w:r>
        <w:t>5.1 A detectable local signature was strong for some taxa, not universal</w:t>
      </w:r>
    </w:p>
    <w:p w14:paraId="094BB6BF" w14:textId="77777777" w:rsidR="008C5E5E" w:rsidRDefault="00C303FF">
      <w:pPr>
        <w:pStyle w:val="FirstParagraph"/>
      </w:pPr>
      <w:r>
        <w:t>The central question receives a partial and qualified yes. Recorded Pacific herring spawning was associated with a detectable local signature in eligible submitted bird checklists, and that signature was especially coherent for Surf Scoter and Short-billed Gull. Yet the response was not universal: guild and species coefficients differed in sign, magnitude, precision, response component, window, and region. The registered results therefore support a structured ecological pattern without supporting the strong</w:t>
      </w:r>
      <w:r>
        <w:t>er proposition that every coastal bird taxon aggregates at spawn.</w:t>
      </w:r>
    </w:p>
    <w:p w14:paraId="38AE7B6E" w14:textId="77777777" w:rsidR="008C5E5E" w:rsidRDefault="00C303FF">
      <w:pPr>
        <w:pStyle w:val="BodyText"/>
      </w:pPr>
      <w:r>
        <w:t>That distinction matters for resource-pulse ecology. A detectable signature need not require uniform responses across consumers. Instead, the joint evidence consists of locality, taxonomic contrast, response-component differences, temporal structure, and recurrence under different regional observation settings. This study supported some dimensions more strongly than others: active-near locality and focal cross-region recurrence were clearest, while a common temporal trajectory and clean ecological specifici</w:t>
      </w:r>
      <w:r>
        <w:t>ty were not. Describing the result as partial preserves both the positive evidence and the failed or qualified predictions.</w:t>
      </w:r>
    </w:p>
    <w:p w14:paraId="18C1EDBA" w14:textId="77777777" w:rsidR="008C5E5E" w:rsidRDefault="00C303FF">
      <w:pPr>
        <w:pStyle w:val="BodyText"/>
      </w:pPr>
      <w:r>
        <w:t>Surf Scoter is biologically compelling because direct roe use and redistribution around spawning have been documented [</w:t>
      </w:r>
      <w:hyperlink w:anchor="ref-sullivan2002">
        <w:r>
          <w:rPr>
            <w:rStyle w:val="Hyperlink"/>
          </w:rPr>
          <w:t>7</w:t>
        </w:r>
      </w:hyperlink>
      <w:r>
        <w:t>,</w:t>
      </w:r>
      <w:hyperlink w:anchor="ref-rodway2003">
        <w:r>
          <w:rPr>
            <w:rStyle w:val="Hyperlink"/>
          </w:rPr>
          <w:t>8</w:t>
        </w:r>
      </w:hyperlink>
      <w:r>
        <w:t>,</w:t>
      </w:r>
      <w:hyperlink w:anchor="ref-lok2008">
        <w:r>
          <w:rPr>
            <w:rStyle w:val="Hyperlink"/>
          </w:rPr>
          <w:t>10</w:t>
        </w:r>
      </w:hyperlink>
      <w:r>
        <w:t>,</w:t>
      </w:r>
      <w:hyperlink w:anchor="ref-lok2012">
        <w:r>
          <w:rPr>
            <w:rStyle w:val="Hyperlink"/>
          </w:rPr>
          <w:t>11</w:t>
        </w:r>
      </w:hyperlink>
      <w:r>
        <w:t>]</w:t>
      </w:r>
      <w:r>
        <w:t>. Short-billed Gull can exploit roe and other shoreline subsidies and may respond quickly to dense, visible prey. Positive detection and conditional-count coefficients in both primary regions are consistent with more frequent reporting and larger reported flocks near recorded spawn. They do not distinguish local attraction from redistribution within observable habitat, increased detectability, or observer visitation.</w:t>
      </w:r>
    </w:p>
    <w:p w14:paraId="62C9A5FA" w14:textId="77777777" w:rsidR="008C5E5E" w:rsidRDefault="00C303FF">
      <w:pPr>
        <w:pStyle w:val="Heading2"/>
      </w:pPr>
      <w:bookmarkStart w:id="17" w:name="Xa830d267aead9ba560f446d4cdff7398bcf448e"/>
      <w:bookmarkEnd w:id="16"/>
      <w:r>
        <w:t>5.2 Ecological mechanisms differ among taxa and response components</w:t>
      </w:r>
    </w:p>
    <w:p w14:paraId="6CF14481" w14:textId="77777777" w:rsidR="008C5E5E" w:rsidRDefault="00C303FF">
      <w:pPr>
        <w:pStyle w:val="FirstParagraph"/>
      </w:pPr>
      <w:r>
        <w:t>Taxonomic heterogeneity is expected when one pulse creates several resources. Diving birds may use attached eggs or adult fish; gulls and scavengers may use roe, carcasses, or prey displaced toward the surface; other taxa may be constrained by water depth, substrate, tides, migration schedules, or competition. A negative coefficient can reflect displacement away from heavily used shorelines or a mismatch between the biological window and the recorded event rather than an absence of ecological interaction. C</w:t>
      </w:r>
      <w:r>
        <w:t>omplete reporting of positive, negative, imprecise, and non-estimable results is therefore essential to the biological interpretation.</w:t>
      </w:r>
    </w:p>
    <w:p w14:paraId="7EDDFD26" w14:textId="77777777" w:rsidR="008C5E5E" w:rsidRDefault="00C303FF">
      <w:pPr>
        <w:pStyle w:val="BodyText"/>
      </w:pPr>
      <w:r>
        <w:t>Guild averages and species estimates answer complementary questions. A guild response indicates whether taxa grouped by a proposed feeding pathway share a broad checklist pattern, but membership does not guarantee identical resource use. Species estimates reveal exceptions and prevent a guild mean from being treated as a universal mechanism. The recurring Surf Scoter pattern aligns with established roe-feeding ecology; the Short-billed Gull pattern is consistent with flexible use of surface and shoreline su</w:t>
      </w:r>
      <w:r>
        <w:t>bsidies. The remaining priority taxa show why mechanistic labels should remain hypotheses rather than post hoc explanations of every coefficient.</w:t>
      </w:r>
    </w:p>
    <w:p w14:paraId="2545976A" w14:textId="77777777" w:rsidR="008C5E5E" w:rsidRDefault="00C303FF">
      <w:pPr>
        <w:pStyle w:val="BodyText"/>
      </w:pPr>
      <w:r>
        <w:t xml:space="preserve">Detection and conditional positive count also represent different processes. Detection can increase if a taxon is present on more submitted checklists, whereas count can increase if numerically reported flocks are larger once the taxon is detected. Divergence between them may indicate changes in encounter probability, flock size, visibility, reporting, or selection. Because </w:t>
      </w:r>
      <w:r>
        <w:rPr>
          <w:rStyle w:val="VerbatimChar"/>
        </w:rPr>
        <w:t>X</w:t>
      </w:r>
      <w:r>
        <w:t xml:space="preserve"> </w:t>
      </w:r>
      <w:r>
        <w:t>is detection-only and positive-count models exclude nondetections, neither component should be substituted for the other or translated into total abundance.</w:t>
      </w:r>
    </w:p>
    <w:p w14:paraId="79CE73AE" w14:textId="77777777" w:rsidR="008C5E5E" w:rsidRDefault="00C303FF">
      <w:pPr>
        <w:pStyle w:val="Heading2"/>
      </w:pPr>
      <w:bookmarkStart w:id="18" w:name="X455a87c9ab0cefbf65d0ce55690fa2d86f50e60"/>
      <w:bookmarkEnd w:id="17"/>
      <w:r>
        <w:t>5.3 Timing and regional heterogeneity complicate a simple pulse trajectory</w:t>
      </w:r>
    </w:p>
    <w:p w14:paraId="0038C091" w14:textId="77777777" w:rsidR="008C5E5E" w:rsidRDefault="00C303FF">
      <w:pPr>
        <w:pStyle w:val="FirstParagraph"/>
      </w:pPr>
      <w:r>
        <w:t>The event-window analysis did not reveal one community-wide rise and fall centered on spawning. Immediate-pre associations in SoG may reflect staging birds, herring activity preceding the recorded start date, or anticipatory birder visitation. Negative post-window medians may reflect depletion or redistribution, while positive coefficients for particular guilds may reflect continued egg availability. Differences in WCVI could arise from ecology, sample size, coastline geometry, survey timing, or exposure er</w:t>
      </w:r>
      <w:r>
        <w:t>ror. These alternatives make the window results biologically useful but secondary: they show that response timing is structured and taxon dependent rather than estimating a continuous causal trajectory.</w:t>
      </w:r>
    </w:p>
    <w:p w14:paraId="1C4032F3" w14:textId="77777777" w:rsidR="008C5E5E" w:rsidRDefault="00C303FF">
      <w:pPr>
        <w:pStyle w:val="BodyText"/>
      </w:pPr>
      <w:r>
        <w:t xml:space="preserve">The absence of one shared trajectory does not imply that event timing is irrelevant. It indicates that a single clock, anchored to recorded spawn start, is insufficient for all consumers and observation settings. Biological availability can begin before the recorded start, persist while eggs remain accessible, and end differently with depth, substrate, tides, or scavenging. The registered windows reveal this heterogeneity without selecting a preferred lag after seeing the outcomes. Finer mechanistic timing </w:t>
      </w:r>
      <w:r>
        <w:t>would require contemporaneous local measurements rather than another outcome-informed reparameterization of the present data.</w:t>
      </w:r>
    </w:p>
    <w:p w14:paraId="65EF5790" w14:textId="77777777" w:rsidR="008C5E5E" w:rsidRDefault="00C303FF">
      <w:pPr>
        <w:pStyle w:val="BodyText"/>
      </w:pPr>
      <w:r>
        <w:t xml:space="preserve">Regional recurrence for Surf Scoter and Short-billed Gull is notable because SoG and WCVI differ greatly in checklist volume and monitoring geometry. At the same time, WCVI intervals were often wider, and some random-effect structures were weakly identified. The matched sensitivities show that most directions persisted under a narrower spatial cohort and removal of the dominant observer cluster. Singularity indicates limited support for part of the specified variance structure, not automatically an invalid </w:t>
      </w:r>
      <w:r>
        <w:t>coefficient. The evidence is strongest where ordinary-fit and sensitivity components agree; singular components are retained as qualified support rather than made uniquely decisive.</w:t>
      </w:r>
    </w:p>
    <w:p w14:paraId="29FF1BE3" w14:textId="77777777" w:rsidR="008C5E5E" w:rsidRDefault="00C303FF">
      <w:pPr>
        <w:pStyle w:val="Heading2"/>
      </w:pPr>
      <w:bookmarkStart w:id="19" w:name="Xaf7725f05c8bb6080a45d7381995af8bad990b3"/>
      <w:bookmarkEnd w:id="18"/>
      <w:r>
        <w:t>5.4 The specificity panel identifies a shared near-spawn signal</w:t>
      </w:r>
    </w:p>
    <w:p w14:paraId="3ADD8E82" w14:textId="77777777" w:rsidR="008C5E5E" w:rsidRDefault="00C303FF">
      <w:pPr>
        <w:pStyle w:val="FirstParagraph"/>
      </w:pPr>
      <w:r>
        <w:t>The non-null Gadwall and Northern Shoveler coefficients are inconsistent with a simple interpretation in which every positive near-spawn detection association is uniquely attributable to herring-spawn ecology. The true active-near exposure may also index season, shoreline accessibility, habitat, where birders submit checklists, or how recorded spawn is classified. Because the panel used the same exposure rather than a shifted one, it addresses specificity in a way the null placebos do not.</w:t>
      </w:r>
    </w:p>
    <w:p w14:paraId="60B0F029" w14:textId="77777777" w:rsidR="008C5E5E" w:rsidRDefault="00C303FF">
      <w:pPr>
        <w:pStyle w:val="BodyText"/>
      </w:pPr>
      <w:r>
        <w:t>The implication must also remain proportional. M29 does not show that every focal-species, guild, regional, timing, or sensitivity result is spurious. It is confined to SoG detection, does not test conditional positive counts, and does not reproduce the cross-region four-component pattern of Surf Scoter or Short-billed Gull. The panel weakens causal and broad specificity claims while leaving the checklist-conditional associations intact. This localized interpretation is carried through the claim-to-evidence</w:t>
      </w:r>
      <w:r>
        <w:t xml:space="preserve"> matrix rather than used to relabel the entire study.</w:t>
      </w:r>
    </w:p>
    <w:p w14:paraId="7EFA340D" w14:textId="77777777" w:rsidR="008C5E5E" w:rsidRDefault="00C303FF">
      <w:pPr>
        <w:pStyle w:val="BodyText"/>
      </w:pPr>
      <w:r>
        <w:t>Several shared mechanisms could produce the panel result. Gadwall and Northern Shoveler may respond to seasonal habitat conditions correlated with spawning, accessible sites may attract both birds and observers, or recorded spawn proximity may classify a broader nearshore context. The present analysis cannot separate these pathways. What it does establish is that the active-near contrast contains more than a uniquely focal-species signal. That finding raises the evidentiary threshold for ecological specific</w:t>
      </w:r>
      <w:r>
        <w:t>ity while leaving room for stronger inference where focal responses recur across outcomes and regions.</w:t>
      </w:r>
    </w:p>
    <w:p w14:paraId="5FABCAC9" w14:textId="77777777" w:rsidR="008C5E5E" w:rsidRDefault="00C303FF">
      <w:pPr>
        <w:pStyle w:val="BodyText"/>
      </w:pPr>
      <w:r>
        <w:t>Independent replication and structured local monitoring would help distinguish ecological response from residual observation-process and exposure-classification mechanisms.</w:t>
      </w:r>
    </w:p>
    <w:p w14:paraId="5C8F68CB" w14:textId="77777777" w:rsidR="008C5E5E" w:rsidRDefault="00C303FF">
      <w:pPr>
        <w:pStyle w:val="Heading2"/>
      </w:pPr>
      <w:bookmarkStart w:id="20" w:name="X6fd19f665c0f6eb2cad5be27554c94db70c2343"/>
      <w:bookmarkEnd w:id="19"/>
      <w:r>
        <w:t>5.5 Community science can resolve resource pulses when specificity is tested</w:t>
      </w:r>
    </w:p>
    <w:p w14:paraId="04B4238B" w14:textId="77777777" w:rsidR="008C5E5E" w:rsidRDefault="00C303FF">
      <w:pPr>
        <w:pStyle w:val="FirstParagraph"/>
      </w:pPr>
      <w:r>
        <w:t>The scale of complete eBird checklists makes regional event-linked ecology possible where standardized surveys are sparse. Complete-checklist semantics, effort covariates, two-part outcomes, event-level exposure, all-model reporting, matched sensitivities, and response-blind placebos make the resulting associations more interpretable. The study also shows why specificity panels belong in the scientific design. A conventional robustness analysis could have emphasized the stable focal directions and null plac</w:t>
      </w:r>
      <w:r>
        <w:t>ebos alone; the non-null biological comparison reveals a shared signal that materially changes how those same coefficients should be read.</w:t>
      </w:r>
    </w:p>
    <w:p w14:paraId="0DC43F46" w14:textId="77777777" w:rsidR="008C5E5E" w:rsidRDefault="00C303FF">
      <w:pPr>
        <w:pStyle w:val="BodyText"/>
      </w:pPr>
      <w:r>
        <w:t>The registered analyses provide confirmatory observational evidence for the defined checklist population. Registered timing and sensitivity analyses remain secondary, and outcome-informed analyses remain exploratory. Corrected compatible-family pooling prevents duplicated or incompatible evidence from acquiring synthetic precision, but its role is supporting synthesis rather than the ecological narrative. These design features strengthen trust in the reported statistical associations without converting comm</w:t>
      </w:r>
      <w:r>
        <w:t>unity-science submissions into a probability sample or supplying causal identification.</w:t>
      </w:r>
    </w:p>
    <w:p w14:paraId="3CBC279D" w14:textId="77777777" w:rsidR="008C5E5E" w:rsidRDefault="00C303FF">
      <w:pPr>
        <w:pStyle w:val="Heading1"/>
      </w:pPr>
      <w:bookmarkStart w:id="21" w:name="limitations"/>
      <w:bookmarkEnd w:id="15"/>
      <w:bookmarkEnd w:id="20"/>
      <w:r>
        <w:t>6. Limitations</w:t>
      </w:r>
    </w:p>
    <w:p w14:paraId="19487AF1" w14:textId="77777777" w:rsidR="008C5E5E" w:rsidRDefault="00C303FF">
      <w:pPr>
        <w:pStyle w:val="FirstParagraph"/>
      </w:pPr>
      <w:r>
        <w:t>First, checklist submission and site selection are not random. Observers may visit accessible shorelines or known spawn sites, and visitation may change after public knowledge of an event. Recorded effort variables and observer/location structure reduce measured differences but cannot eliminate selection bias. This limits attribution of a coefficient to bird behavior alone, especially for SoG detection, but it does not erase the association among eligible submitted checklists.</w:t>
      </w:r>
    </w:p>
    <w:p w14:paraId="0CA13F47" w14:textId="77777777" w:rsidR="008C5E5E" w:rsidRDefault="00C303FF">
      <w:pPr>
        <w:pStyle w:val="BodyText"/>
      </w:pPr>
      <w:r>
        <w:t>Second, recorded spawn exposure is imperfect. DFO monitoring varies in space and time; unmonitored areas remain unknown rather than negative. Recorded dates, source points, and index components may not coincide perfectly with biological availability to birds. Concurrent events can interfere, although all registered concurrent links were retained additively rather than duplicating checklists. These limits affect interpretation of recorded active-near exposure, not the internal identity of the fitted contrast</w:t>
      </w:r>
      <w:r>
        <w:t>.</w:t>
      </w:r>
    </w:p>
    <w:p w14:paraId="21054476" w14:textId="77777777" w:rsidR="008C5E5E" w:rsidRDefault="00C303FF">
      <w:pPr>
        <w:pStyle w:val="BodyText"/>
      </w:pPr>
      <w:r>
        <w:t>Third, WCVI has sparse geometry and concentrated observer participation. Matched 2-km and dominant-observer results are useful, but singular-fit warnings show that some intended random-effect variance components were weakly identified. This limits confidence in the full specified variance structure; it does not automatically invalidate finite fixed-effect coefficients supported by ordinary-fit or otherwise stable evidence.</w:t>
      </w:r>
    </w:p>
    <w:p w14:paraId="62202926" w14:textId="77777777" w:rsidR="008C5E5E" w:rsidRDefault="00C303FF">
      <w:pPr>
        <w:pStyle w:val="BodyText"/>
      </w:pPr>
      <w:r>
        <w:t xml:space="preserve">Fourth, the two-part response is conditional on eBird reporting. A complete-checklist nondetection is not proof of biological absence; a positive numeric count is not a census; </w:t>
      </w:r>
      <w:r>
        <w:rPr>
          <w:rStyle w:val="VerbatimChar"/>
        </w:rPr>
        <w:t>X</w:t>
      </w:r>
      <w:r>
        <w:t xml:space="preserve"> is detection-only; and ambiguity can create structural unknowns. The models therefore describe reporting and reported flock size among eligible checklists, not occupancy or population abundance.</w:t>
      </w:r>
    </w:p>
    <w:p w14:paraId="06D77F2F" w14:textId="77777777" w:rsidR="008C5E5E" w:rsidRDefault="00C303FF">
      <w:pPr>
        <w:pStyle w:val="BodyText"/>
      </w:pPr>
      <w:r>
        <w:t>Fifth, the design cannot distinguish every ecological mechanism. Roe consumption, adult-fish use, carrion, displaced prey, redistribution, detectability, and birder visitation can produce overlapping checklist patterns. This limits mechanistic and causal claims while leaving taxonomic, temporal, and regional heterogeneity available for ecological comparison.</w:t>
      </w:r>
    </w:p>
    <w:p w14:paraId="1436E287" w14:textId="77777777" w:rsidR="008C5E5E" w:rsidRDefault="00C303FF">
      <w:pPr>
        <w:pStyle w:val="BodyText"/>
      </w:pPr>
      <w:r>
        <w:t>These are specific boundaries, not a declaration that the study is uninformative. Selection limits generalization beyond eligible submitted checklists; monitoring and timing error limit the biological meaning of exposure; sparse WCVI geometry limits precision and variance-structure support; and response semantics prevent population-level inference. Structured local surveys that measure spawn availability, shoreline access, and visitation would directly target those remaining uncertainties.</w:t>
      </w:r>
    </w:p>
    <w:p w14:paraId="189D0E37" w14:textId="77777777" w:rsidR="008C5E5E" w:rsidRDefault="00C303FF">
      <w:pPr>
        <w:pStyle w:val="Heading1"/>
      </w:pPr>
      <w:bookmarkStart w:id="22" w:name="conclusions"/>
      <w:bookmarkEnd w:id="21"/>
      <w:r>
        <w:t>7. Conclusions</w:t>
      </w:r>
    </w:p>
    <w:p w14:paraId="5C371E28" w14:textId="77777777" w:rsidR="008C5E5E" w:rsidRDefault="00C303FF">
      <w:pPr>
        <w:pStyle w:val="FirstParagraph"/>
      </w:pPr>
      <w:r>
        <w:t>The short-lived Pacific herring spawn pulse produced a spatially local and taxonomically heterogeneous signature in eligible submitted coastal-bird checklists. Surf Scoter and Short-billed Gull provided the clearest cross-region evidence, but event timing did not follow one community-wide trajectory, and the non-null SoG specificity panel showed that the signal was not uniformly specific to focal herring-associated taxa. The registered analyses therefore support a partial and qualified resource-pulse interp</w:t>
      </w:r>
      <w:r>
        <w:t>retation. They estimate checklist-conditional associations, not causal effects or changes in population abundance, biomass, occupancy, migration, or individual movement.</w:t>
      </w:r>
    </w:p>
    <w:p w14:paraId="498CDDFD" w14:textId="77777777" w:rsidR="008C5E5E" w:rsidRDefault="00C303FF">
      <w:pPr>
        <w:pStyle w:val="Heading1"/>
      </w:pPr>
      <w:bookmarkStart w:id="23" w:name="data-availability"/>
      <w:bookmarkEnd w:id="22"/>
      <w:r>
        <w:t>8. Data availability</w:t>
      </w:r>
    </w:p>
    <w:p w14:paraId="3C2D1D9C" w14:textId="77777777" w:rsidR="008C5E5E" w:rsidRDefault="00C303FF">
      <w:pPr>
        <w:pStyle w:val="FirstParagraph"/>
      </w:pPr>
      <w:r>
        <w:t>DFO-derived source data are available through the Government of Canada Open Government Portal [</w:t>
      </w:r>
      <w:hyperlink w:anchor="ref-dfo_spawn_data">
        <w:r>
          <w:rPr>
            <w:rStyle w:val="Hyperlink"/>
          </w:rPr>
          <w:t>18</w:t>
        </w:r>
      </w:hyperlink>
      <w:r>
        <w:t>], subject to the source record and its monitoring caveats. eBird checklist data require authorized access under eBird terms and are not redistributed [</w:t>
      </w:r>
      <w:hyperlink w:anchor="ref-ebird_ebd">
        <w:r>
          <w:rPr>
            <w:rStyle w:val="Hyperlink"/>
          </w:rPr>
          <w:t>17</w:t>
        </w:r>
      </w:hyperlink>
      <w:r>
        <w:t>]</w:t>
      </w:r>
      <w:r>
        <w:t>. Raw EBD/SED, protected row-level derivatives, observer identities, exact localities, exact coordinates, event tokens, and transformation mappings cannot be shared because of source terms and privacy controls. Privacy-safe aggregate tables, claim audits, provenance records, and publication figures are deposited with the project repository at https://github.com/JTDingwall/herring-x-ebird-version-2. An authorized researcher can reconstruct the analysis from permitted source data, frozen registries, and the t</w:t>
      </w:r>
      <w:r>
        <w:t>agged code.</w:t>
      </w:r>
    </w:p>
    <w:p w14:paraId="29D5B653" w14:textId="77777777" w:rsidR="008C5E5E" w:rsidRDefault="00C303FF">
      <w:pPr>
        <w:pStyle w:val="Heading1"/>
      </w:pPr>
      <w:bookmarkStart w:id="24" w:name="code-availability"/>
      <w:bookmarkEnd w:id="23"/>
      <w:r>
        <w:t>9. Code availability</w:t>
      </w:r>
    </w:p>
    <w:p w14:paraId="06C06107" w14:textId="77777777" w:rsidR="008C5E5E" w:rsidRDefault="00C303FF">
      <w:pPr>
        <w:pStyle w:val="FirstParagraph"/>
      </w:pPr>
      <w:r>
        <w:t xml:space="preserve">Code, frozen specifications, privacy-safe aggregate outputs, and reproducibility instructions are available at https://github.com/JTDingwall/herring-x-ebird-version-2. The exact analysis freeze is commit </w:t>
      </w:r>
      <w:r>
        <w:rPr>
          <w:rStyle w:val="VerbatimChar"/>
        </w:rPr>
        <w:t>c54b8e7f95a2fe3573e2e38633079cd223c5a783</w:t>
      </w:r>
      <w:r>
        <w:t xml:space="preserve">, tag </w:t>
      </w:r>
      <w:r>
        <w:rPr>
          <w:rStyle w:val="VerbatimChar"/>
        </w:rPr>
        <w:t>stage4a-publication-v2-analysis-freeze</w:t>
      </w:r>
      <w:r>
        <w:t>. Manuscript assembly did not refit response models or alter any frozen v1 or v2 analysis artifact.</w:t>
      </w:r>
    </w:p>
    <w:p w14:paraId="1D56F8FA" w14:textId="77777777" w:rsidR="008C5E5E" w:rsidRDefault="00C303FF">
      <w:pPr>
        <w:pStyle w:val="Heading1"/>
      </w:pPr>
      <w:bookmarkStart w:id="25" w:name="declarations"/>
      <w:bookmarkEnd w:id="24"/>
      <w:r>
        <w:t>10. Declarations</w:t>
      </w:r>
    </w:p>
    <w:p w14:paraId="2C9A4179" w14:textId="77777777" w:rsidR="008C5E5E" w:rsidRDefault="00C303FF">
      <w:pPr>
        <w:pStyle w:val="FirstParagraph"/>
      </w:pPr>
      <w:r>
        <w:rPr>
          <w:b/>
          <w:bCs/>
        </w:rPr>
        <w:t>CRediT authorship contribution statement:</w:t>
      </w:r>
      <w:r>
        <w:t xml:space="preserve"> </w:t>
      </w:r>
      <w:r>
        <w:t>Jacob T. Dingwall: Conceptualization, Data curation, Formal analysis, Investigation, Methodology, Project administration, Software, Validation, Visualization, Writing – original draft, Writing – review and editing.</w:t>
      </w:r>
    </w:p>
    <w:p w14:paraId="34CE90B4" w14:textId="77777777" w:rsidR="008C5E5E" w:rsidRDefault="00C303FF">
      <w:pPr>
        <w:pStyle w:val="BodyText"/>
      </w:pPr>
      <w:r>
        <w:rPr>
          <w:b/>
          <w:bCs/>
        </w:rPr>
        <w:t>Funding:</w:t>
      </w:r>
      <w:r>
        <w:t xml:space="preserve"> This research did not receive any specific grant from funding agencies in the public, commercial, or not-for-profit sectors and was self-funded by the author.</w:t>
      </w:r>
    </w:p>
    <w:p w14:paraId="739229BF" w14:textId="77777777" w:rsidR="008C5E5E" w:rsidRDefault="00C303FF">
      <w:pPr>
        <w:pStyle w:val="BodyText"/>
      </w:pPr>
      <w:r>
        <w:rPr>
          <w:b/>
          <w:bCs/>
        </w:rPr>
        <w:t>Declaration of competing interest:</w:t>
      </w:r>
      <w:r>
        <w:t xml:space="preserve"> </w:t>
      </w:r>
      <w:r>
        <w:t>The author declares that he has no known competing financial interests or personal relationships that could have appeared to influence the work reported in this paper.</w:t>
      </w:r>
    </w:p>
    <w:p w14:paraId="495874DB" w14:textId="77777777" w:rsidR="008C5E5E" w:rsidRDefault="00C303FF">
      <w:pPr>
        <w:pStyle w:val="BodyText"/>
      </w:pPr>
      <w:r>
        <w:rPr>
          <w:b/>
          <w:bCs/>
        </w:rPr>
        <w:t>Ethics and permits:</w:t>
      </w:r>
      <w:r>
        <w:t xml:space="preserve"> Not applicable; the study used secondary observational datasets and involved no animal handling or human-participant research.</w:t>
      </w:r>
    </w:p>
    <w:p w14:paraId="6187C1C2" w14:textId="77777777" w:rsidR="008C5E5E" w:rsidRDefault="00C303FF">
      <w:pPr>
        <w:pStyle w:val="BodyText"/>
      </w:pPr>
      <w:r>
        <w:rPr>
          <w:b/>
          <w:bCs/>
        </w:rPr>
        <w:t>Declaration of generative AI and AI-assisted technologies in the manuscript preparation process:</w:t>
      </w:r>
      <w:r>
        <w:t xml:space="preserve"> </w:t>
      </w:r>
      <w:r>
        <w:t>[AUTHOR TO CONFIRM AFTER REVIEW: During preparation of this work, the author used OpenAI Codex to assist with journal-specific organization, language editing, document generation, and consistency checks. The author reviewed and edited the content as needed and takes full responsibility for the content of the published article.]</w:t>
      </w:r>
    </w:p>
    <w:p w14:paraId="30212544" w14:textId="77777777" w:rsidR="008C5E5E" w:rsidRDefault="00C303FF">
      <w:pPr>
        <w:pStyle w:val="Heading1"/>
      </w:pPr>
      <w:bookmarkStart w:id="26" w:name="acknowledgments"/>
      <w:bookmarkEnd w:id="25"/>
      <w:r>
        <w:t>11. Acknowledgments</w:t>
      </w:r>
    </w:p>
    <w:p w14:paraId="029F69DD" w14:textId="77777777" w:rsidR="008C5E5E" w:rsidRDefault="00C303FF">
      <w:pPr>
        <w:pStyle w:val="FirstParagraph"/>
      </w:pPr>
      <w:r>
        <w:t>The author thanks all birders whose observations created an exceptional community-science resource. The author also thanks past and present staff at Fisheries and Oceans Canada who collected and maintained the Pacific herring spawn dataset.</w:t>
      </w:r>
    </w:p>
    <w:p w14:paraId="38ACF3B1" w14:textId="77777777" w:rsidR="008C5E5E" w:rsidRDefault="00C303FF">
      <w:pPr>
        <w:pStyle w:val="Heading1"/>
      </w:pPr>
      <w:bookmarkStart w:id="27" w:name="references"/>
      <w:bookmarkEnd w:id="26"/>
      <w:r>
        <w:t>12. References</w:t>
      </w:r>
    </w:p>
    <w:p w14:paraId="5E0D8DD1" w14:textId="77777777" w:rsidR="008C5E5E" w:rsidRDefault="00C303FF">
      <w:pPr>
        <w:pStyle w:val="Bibliography"/>
      </w:pPr>
      <w:bookmarkStart w:id="28" w:name="ref-haegele1985"/>
      <w:bookmarkStart w:id="29" w:name="refs"/>
      <w:r>
        <w:t xml:space="preserve">[1] </w:t>
      </w:r>
      <w:r>
        <w:tab/>
        <w:t xml:space="preserve">Haegele CW, Schweigert JF. Distribution and characteristics of herring spawning grounds and description of spawning behavior. Can J Fish Aquat Sci 1985;42:s39–55. </w:t>
      </w:r>
      <w:hyperlink r:id="rId12">
        <w:r>
          <w:rPr>
            <w:rStyle w:val="Hyperlink"/>
          </w:rPr>
          <w:t>https://doi.org/10.1139/f85-261</w:t>
        </w:r>
      </w:hyperlink>
      <w:r>
        <w:t>.</w:t>
      </w:r>
    </w:p>
    <w:p w14:paraId="49066477" w14:textId="77777777" w:rsidR="008C5E5E" w:rsidRDefault="00C303FF">
      <w:pPr>
        <w:pStyle w:val="Bibliography"/>
      </w:pPr>
      <w:bookmarkStart w:id="30" w:name="ref-hay1987"/>
      <w:bookmarkEnd w:id="28"/>
      <w:r>
        <w:t xml:space="preserve">[2] </w:t>
      </w:r>
      <w:r>
        <w:tab/>
      </w:r>
      <w:r>
        <w:t xml:space="preserve">Hay DE, Kronlund AR. Factors affecting the distribution, abundance, and measurement of pacific herring spawn. Can J Fish Aquat Sci 1987;44:1181–94. </w:t>
      </w:r>
      <w:hyperlink r:id="rId13">
        <w:r>
          <w:rPr>
            <w:rStyle w:val="Hyperlink"/>
          </w:rPr>
          <w:t>https://doi.org/10.1139/f87-141</w:t>
        </w:r>
      </w:hyperlink>
      <w:r>
        <w:t>.</w:t>
      </w:r>
    </w:p>
    <w:p w14:paraId="15490565" w14:textId="77777777" w:rsidR="008C5E5E" w:rsidRDefault="00C303FF">
      <w:pPr>
        <w:pStyle w:val="Bibliography"/>
      </w:pPr>
      <w:bookmarkStart w:id="31" w:name="ref-hay2009"/>
      <w:bookmarkEnd w:id="30"/>
      <w:r>
        <w:t xml:space="preserve">[3] </w:t>
      </w:r>
      <w:r>
        <w:tab/>
        <w:t xml:space="preserve">Hay DE, McCarter PB, Daniel KS, Schweigert JF. Spatial diversity of pacific herring spawning areas. ICES J Mar Sci 2009;66:1662–6. </w:t>
      </w:r>
      <w:hyperlink r:id="rId14">
        <w:r>
          <w:rPr>
            <w:rStyle w:val="Hyperlink"/>
          </w:rPr>
          <w:t>https://doi.org/10.1093/icesjms/fsp139</w:t>
        </w:r>
      </w:hyperlink>
      <w:r>
        <w:t>.</w:t>
      </w:r>
    </w:p>
    <w:p w14:paraId="2D60B734" w14:textId="77777777" w:rsidR="008C5E5E" w:rsidRDefault="00C303FF">
      <w:pPr>
        <w:pStyle w:val="Bibliography"/>
      </w:pPr>
      <w:bookmarkStart w:id="32" w:name="ref-rooper2024"/>
      <w:bookmarkEnd w:id="31"/>
      <w:r>
        <w:t xml:space="preserve">[4] </w:t>
      </w:r>
      <w:r>
        <w:tab/>
      </w:r>
      <w:r>
        <w:t xml:space="preserve">Rooper CN, Boldt JL, Cleary J, Pena AM, Thompson M, Grinnell M. Evaluating factors affecting the distribution and timing of pacific herring spawn in british columbia. Mar Ecol Prog Ser 2024;741:251–69. </w:t>
      </w:r>
      <w:hyperlink r:id="rId15">
        <w:r>
          <w:rPr>
            <w:rStyle w:val="Hyperlink"/>
          </w:rPr>
          <w:t>https://doi.org/10.3354/meps14274</w:t>
        </w:r>
      </w:hyperlink>
      <w:r>
        <w:t>.</w:t>
      </w:r>
    </w:p>
    <w:p w14:paraId="7261129D" w14:textId="77777777" w:rsidR="008C5E5E" w:rsidRDefault="00C303FF">
      <w:pPr>
        <w:pStyle w:val="Bibliography"/>
      </w:pPr>
      <w:bookmarkStart w:id="33" w:name="ref-grinnell2023"/>
      <w:bookmarkEnd w:id="32"/>
      <w:r>
        <w:t xml:space="preserve">[5] </w:t>
      </w:r>
      <w:r>
        <w:tab/>
        <w:t xml:space="preserve">Grinnell MH, Schweigert JF, Thompson M, Hawkshaw S, Cleary JS. </w:t>
      </w:r>
      <w:hyperlink r:id="rId16">
        <w:r>
          <w:rPr>
            <w:rStyle w:val="Hyperlink"/>
          </w:rPr>
          <w:t>Calculating the spawn index for pacific herring (clupea pallasii) in british columbia, canada</w:t>
        </w:r>
      </w:hyperlink>
      <w:r>
        <w:t>. Fisheries; Oceans Canada; 2023.</w:t>
      </w:r>
    </w:p>
    <w:p w14:paraId="1114113E" w14:textId="77777777" w:rsidR="008C5E5E" w:rsidRDefault="00C303FF">
      <w:pPr>
        <w:pStyle w:val="Bibliography"/>
      </w:pPr>
      <w:bookmarkStart w:id="34" w:name="ref-haegele1993"/>
      <w:bookmarkEnd w:id="33"/>
      <w:r>
        <w:t xml:space="preserve">[6] </w:t>
      </w:r>
      <w:r>
        <w:tab/>
        <w:t xml:space="preserve">Haegele CW. Seabird predation of pacific herring, clupea pallasi, spawn in british columbia. Can Field-Nat 1993;107:73–82. </w:t>
      </w:r>
      <w:hyperlink r:id="rId17">
        <w:r>
          <w:rPr>
            <w:rStyle w:val="Hyperlink"/>
          </w:rPr>
          <w:t>https://doi.org/10.5962/p.357075</w:t>
        </w:r>
      </w:hyperlink>
      <w:r>
        <w:t>.</w:t>
      </w:r>
    </w:p>
    <w:p w14:paraId="49E622E8" w14:textId="77777777" w:rsidR="008C5E5E" w:rsidRDefault="00C303FF">
      <w:pPr>
        <w:pStyle w:val="Bibliography"/>
      </w:pPr>
      <w:bookmarkStart w:id="35" w:name="ref-sullivan2002"/>
      <w:bookmarkEnd w:id="34"/>
      <w:r>
        <w:t xml:space="preserve">[7] </w:t>
      </w:r>
      <w:r>
        <w:tab/>
      </w:r>
      <w:r>
        <w:t xml:space="preserve">Sullivan TM, Butler RW, Boyd WS. Seasonal distribution of waterbirds in relation to spawning pacific herring, clupea pallasi, in the strait of georgia, british columbia. Can Field-Nat 2002;116:366–70. </w:t>
      </w:r>
      <w:hyperlink r:id="rId18">
        <w:r>
          <w:rPr>
            <w:rStyle w:val="Hyperlink"/>
          </w:rPr>
          <w:t>https://doi.org/10.5962/p.363475</w:t>
        </w:r>
      </w:hyperlink>
      <w:r>
        <w:t>.</w:t>
      </w:r>
    </w:p>
    <w:p w14:paraId="1CD5FEA4" w14:textId="77777777" w:rsidR="008C5E5E" w:rsidRDefault="00C303FF">
      <w:pPr>
        <w:pStyle w:val="Bibliography"/>
      </w:pPr>
      <w:bookmarkStart w:id="36" w:name="ref-rodway2003"/>
      <w:bookmarkEnd w:id="35"/>
      <w:r>
        <w:t xml:space="preserve">[8] </w:t>
      </w:r>
      <w:r>
        <w:tab/>
        <w:t xml:space="preserve">Rodway MS, Regehr HM, Ashley J, Clarkson PV, Goudie RI, Hay DE, et al. Aggregative response of harlequin ducks to herring spawning in the strait of georgia, british columbia. Can J Zool 2003;81:504–14. </w:t>
      </w:r>
      <w:hyperlink r:id="rId19">
        <w:r>
          <w:rPr>
            <w:rStyle w:val="Hyperlink"/>
          </w:rPr>
          <w:t>https://doi.org/10.1139/z03-032</w:t>
        </w:r>
      </w:hyperlink>
      <w:r>
        <w:t>.</w:t>
      </w:r>
    </w:p>
    <w:p w14:paraId="5896A3AE" w14:textId="77777777" w:rsidR="008C5E5E" w:rsidRDefault="00C303FF">
      <w:pPr>
        <w:pStyle w:val="Bibliography"/>
      </w:pPr>
      <w:bookmarkStart w:id="37" w:name="ref-lewis2007"/>
      <w:bookmarkEnd w:id="36"/>
      <w:r>
        <w:t xml:space="preserve">[9] </w:t>
      </w:r>
      <w:r>
        <w:tab/>
        <w:t xml:space="preserve">Lewis TL, Esler D, Boyd WS. Foraging behaviors of surf scoters and white-winged scoters during spawning of pacific herring. Condor 2007;109:216–22. </w:t>
      </w:r>
      <w:hyperlink r:id="rId20">
        <w:r>
          <w:rPr>
            <w:rStyle w:val="Hyperlink"/>
          </w:rPr>
          <w:t>https://doi.org/10.1093/condor/109.1.216</w:t>
        </w:r>
      </w:hyperlink>
      <w:r>
        <w:t>.</w:t>
      </w:r>
    </w:p>
    <w:p w14:paraId="26123CB4" w14:textId="77777777" w:rsidR="008C5E5E" w:rsidRDefault="00C303FF">
      <w:pPr>
        <w:pStyle w:val="Bibliography"/>
      </w:pPr>
      <w:bookmarkStart w:id="38" w:name="ref-lok2008"/>
      <w:bookmarkEnd w:id="37"/>
      <w:r>
        <w:t xml:space="preserve">[10] </w:t>
      </w:r>
      <w:r>
        <w:tab/>
        <w:t xml:space="preserve">Lok EK, Kirk M, Esler D, Boyd WS. Movements of pre-migratory surf and white-winged scoters in response to pacific herring spawn. Waterbirds 2008;31:385–93. </w:t>
      </w:r>
      <w:hyperlink r:id="rId21">
        <w:r>
          <w:rPr>
            <w:rStyle w:val="Hyperlink"/>
          </w:rPr>
          <w:t>https://doi.org/10.1675/1524-4695-31.3.385</w:t>
        </w:r>
      </w:hyperlink>
      <w:r>
        <w:t>.</w:t>
      </w:r>
    </w:p>
    <w:p w14:paraId="24AF8DD9" w14:textId="77777777" w:rsidR="008C5E5E" w:rsidRDefault="00C303FF">
      <w:pPr>
        <w:pStyle w:val="Bibliography"/>
      </w:pPr>
      <w:bookmarkStart w:id="39" w:name="ref-lok2012"/>
      <w:bookmarkEnd w:id="38"/>
      <w:r>
        <w:t xml:space="preserve">[11] </w:t>
      </w:r>
      <w:r>
        <w:tab/>
        <w:t xml:space="preserve">Lok EK, Esler D, Takekawa JY, De La Cruz SEW, Boyd WS, Nysewander DR, et al. Spatiotemporal associations between pacific herring spawn and surf scoter spring migration: Evaluating a silver wave hypothesis. Mar Ecol Prog Ser 2012;457:139–50. </w:t>
      </w:r>
      <w:hyperlink r:id="rId22">
        <w:r>
          <w:rPr>
            <w:rStyle w:val="Hyperlink"/>
          </w:rPr>
          <w:t>https://doi.org/10.3354/meps09692</w:t>
        </w:r>
      </w:hyperlink>
      <w:r>
        <w:t>.</w:t>
      </w:r>
    </w:p>
    <w:p w14:paraId="7DE18A1B" w14:textId="77777777" w:rsidR="008C5E5E" w:rsidRDefault="00C303FF">
      <w:pPr>
        <w:pStyle w:val="Bibliography"/>
      </w:pPr>
      <w:bookmarkStart w:id="40" w:name="ref-kelly2018"/>
      <w:bookmarkEnd w:id="39"/>
      <w:r>
        <w:t xml:space="preserve">[12] </w:t>
      </w:r>
      <w:r>
        <w:tab/>
      </w:r>
      <w:r>
        <w:t xml:space="preserve">Kelly JP, Rothenbach CA, Weathers WW. Echoes of numerical dependence: Responses of wintering waterbirds to pacific herring spawns. Mar Ecol Prog Ser 2018;597:243–57. </w:t>
      </w:r>
      <w:hyperlink r:id="rId23">
        <w:r>
          <w:rPr>
            <w:rStyle w:val="Hyperlink"/>
          </w:rPr>
          <w:t>https://doi.org/10.3354/meps12594</w:t>
        </w:r>
      </w:hyperlink>
      <w:r>
        <w:t>.</w:t>
      </w:r>
    </w:p>
    <w:p w14:paraId="507C2A90" w14:textId="77777777" w:rsidR="008C5E5E" w:rsidRDefault="00C303FF">
      <w:pPr>
        <w:pStyle w:val="Bibliography"/>
      </w:pPr>
      <w:bookmarkStart w:id="41" w:name="ref-sullivan2009"/>
      <w:bookmarkEnd w:id="40"/>
      <w:r>
        <w:t xml:space="preserve">[13] </w:t>
      </w:r>
      <w:r>
        <w:tab/>
        <w:t xml:space="preserve">Sullivan BL, Wood CL, Iliff MJ, Bonney RE, Fink D, Kelling S. eBird: A citizen-based bird observation network in the biological sciences. Biol Conserv 2009;142:2282–92. </w:t>
      </w:r>
      <w:hyperlink r:id="rId24">
        <w:r>
          <w:rPr>
            <w:rStyle w:val="Hyperlink"/>
          </w:rPr>
          <w:t>https://doi.org/10.1016/j.biocon.2009.05.006</w:t>
        </w:r>
      </w:hyperlink>
      <w:r>
        <w:t>.</w:t>
      </w:r>
    </w:p>
    <w:p w14:paraId="4679C0C9" w14:textId="77777777" w:rsidR="008C5E5E" w:rsidRDefault="00C303FF">
      <w:pPr>
        <w:pStyle w:val="Bibliography"/>
      </w:pPr>
      <w:bookmarkStart w:id="42" w:name="ref-kelling2019"/>
      <w:bookmarkEnd w:id="41"/>
      <w:r>
        <w:t xml:space="preserve">[14] </w:t>
      </w:r>
      <w:r>
        <w:tab/>
        <w:t xml:space="preserve">Kelling S, Johnston A, Bonn A, Fink D, Ruiz-Gutierrez V, Bonney R, et al. Using semistructured surveys to improve citizen science data for monitoring biodiversity. BioScience 2019;69:170–9. </w:t>
      </w:r>
      <w:hyperlink r:id="rId25">
        <w:r>
          <w:rPr>
            <w:rStyle w:val="Hyperlink"/>
          </w:rPr>
          <w:t>https://doi.org/10.1093/biosci/biz010</w:t>
        </w:r>
      </w:hyperlink>
      <w:r>
        <w:t>.</w:t>
      </w:r>
    </w:p>
    <w:p w14:paraId="47E5BD21" w14:textId="77777777" w:rsidR="008C5E5E" w:rsidRDefault="00C303FF">
      <w:pPr>
        <w:pStyle w:val="Bibliography"/>
      </w:pPr>
      <w:bookmarkStart w:id="43" w:name="ref-johnston2018"/>
      <w:bookmarkEnd w:id="42"/>
      <w:r>
        <w:t xml:space="preserve">[15] </w:t>
      </w:r>
      <w:r>
        <w:tab/>
        <w:t xml:space="preserve">Johnston A, Fink D, Hochachka WM, Kelling S. Estimates of observer expertise improve species distributions from citizen science data. Methods Ecol Evol 2018;9:88–97. </w:t>
      </w:r>
      <w:hyperlink r:id="rId26">
        <w:r>
          <w:rPr>
            <w:rStyle w:val="Hyperlink"/>
          </w:rPr>
          <w:t>https://doi.org/10.1111/2041-210X.12838</w:t>
        </w:r>
      </w:hyperlink>
      <w:r>
        <w:t>.</w:t>
      </w:r>
    </w:p>
    <w:p w14:paraId="53957A39" w14:textId="77777777" w:rsidR="008C5E5E" w:rsidRDefault="00C303FF">
      <w:pPr>
        <w:pStyle w:val="Bibliography"/>
      </w:pPr>
      <w:bookmarkStart w:id="44" w:name="ref-johnston2021"/>
      <w:bookmarkEnd w:id="43"/>
      <w:r>
        <w:t xml:space="preserve">[16] </w:t>
      </w:r>
      <w:r>
        <w:tab/>
        <w:t xml:space="preserve">Johnston A, Hochachka WM, Strimas-Mackey ME, Ruiz Gutierrez V, Robinson OJ, Miller ET, et al. Analytical guidelines to increase the value of community science data: An example using eBird data to estimate species distributions. Divers Distrib 2021;27:1265–77. </w:t>
      </w:r>
      <w:hyperlink r:id="rId27">
        <w:r>
          <w:rPr>
            <w:rStyle w:val="Hyperlink"/>
          </w:rPr>
          <w:t>https://doi.org/10.1111/ddi.13271</w:t>
        </w:r>
      </w:hyperlink>
      <w:r>
        <w:t>.</w:t>
      </w:r>
    </w:p>
    <w:p w14:paraId="287EB161" w14:textId="77777777" w:rsidR="008C5E5E" w:rsidRDefault="00C303FF">
      <w:pPr>
        <w:pStyle w:val="Bibliography"/>
      </w:pPr>
      <w:bookmarkStart w:id="45" w:name="ref-ebird_ebd"/>
      <w:bookmarkEnd w:id="44"/>
      <w:r>
        <w:t xml:space="preserve">[17] </w:t>
      </w:r>
      <w:r>
        <w:tab/>
        <w:t xml:space="preserve">eBird. </w:t>
      </w:r>
      <w:hyperlink r:id="rId28">
        <w:r>
          <w:rPr>
            <w:rStyle w:val="Hyperlink"/>
          </w:rPr>
          <w:t>eBird basic dataset, version EBD_relMay-2026</w:t>
        </w:r>
      </w:hyperlink>
      <w:r>
        <w:t xml:space="preserve"> 2026.</w:t>
      </w:r>
    </w:p>
    <w:p w14:paraId="1F679375" w14:textId="77777777" w:rsidR="008C5E5E" w:rsidRDefault="00C303FF">
      <w:pPr>
        <w:pStyle w:val="Bibliography"/>
      </w:pPr>
      <w:bookmarkStart w:id="46" w:name="ref-dfo_spawn_data"/>
      <w:bookmarkEnd w:id="45"/>
      <w:r>
        <w:t xml:space="preserve">[18] </w:t>
      </w:r>
      <w:r>
        <w:tab/>
        <w:t xml:space="preserve">Fisheries and Oceans Canada. </w:t>
      </w:r>
      <w:hyperlink r:id="rId29">
        <w:r>
          <w:rPr>
            <w:rStyle w:val="Hyperlink"/>
          </w:rPr>
          <w:t>Pacific herring spawn index data</w:t>
        </w:r>
      </w:hyperlink>
      <w:r>
        <w:t xml:space="preserve"> 2026.</w:t>
      </w:r>
    </w:p>
    <w:p w14:paraId="6390B257" w14:textId="77777777" w:rsidR="008C5E5E" w:rsidRDefault="00C303FF">
      <w:pPr>
        <w:pStyle w:val="Bibliography"/>
      </w:pPr>
      <w:bookmarkStart w:id="47" w:name="ref-bates2015"/>
      <w:bookmarkEnd w:id="46"/>
      <w:r>
        <w:t xml:space="preserve">[19] </w:t>
      </w:r>
      <w:r>
        <w:tab/>
        <w:t xml:space="preserve">Bates D, Maechler M, Bolker B, Walker S. Fitting linear mixed-effects models using lme4. J Stat Softw 2015;67:1–48. </w:t>
      </w:r>
      <w:hyperlink r:id="rId30">
        <w:r>
          <w:rPr>
            <w:rStyle w:val="Hyperlink"/>
          </w:rPr>
          <w:t>https://doi.org/10.18637/jss.v067.i01</w:t>
        </w:r>
      </w:hyperlink>
      <w:r>
        <w:t>.</w:t>
      </w:r>
    </w:p>
    <w:p w14:paraId="41168E58" w14:textId="77777777" w:rsidR="008C5E5E" w:rsidRDefault="00C303FF">
      <w:pPr>
        <w:pStyle w:val="Bibliography"/>
      </w:pPr>
      <w:bookmarkStart w:id="48" w:name="ref-benjamini1995"/>
      <w:bookmarkEnd w:id="47"/>
      <w:r>
        <w:t xml:space="preserve">[20] </w:t>
      </w:r>
      <w:r>
        <w:tab/>
        <w:t xml:space="preserve">Benjamini Y, Hochberg Y. Controlling the false discovery rate: A practical and powerful approach to multiple testing. J R Stat Soc Ser B Stat Methodol 1995;57:289–300. </w:t>
      </w:r>
      <w:hyperlink r:id="rId31">
        <w:r>
          <w:rPr>
            <w:rStyle w:val="Hyperlink"/>
          </w:rPr>
          <w:t>https://doi.org/10.1111/j.2517-6161.1995.tb02031.x</w:t>
        </w:r>
      </w:hyperlink>
      <w:r>
        <w:t>.</w:t>
      </w:r>
      <w:bookmarkEnd w:id="27"/>
      <w:bookmarkEnd w:id="29"/>
      <w:bookmarkEnd w:id="48"/>
    </w:p>
    <w:sectPr w:rsidR="008C5E5E" w:rsidSect="004D3BBB">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3933D" w14:textId="77777777" w:rsidR="00C303FF" w:rsidRDefault="00C303FF" w:rsidP="004D3BBB">
      <w:pPr>
        <w:spacing w:after="0"/>
      </w:pPr>
      <w:r>
        <w:separator/>
      </w:r>
    </w:p>
  </w:endnote>
  <w:endnote w:type="continuationSeparator" w:id="0">
    <w:p w14:paraId="243B5F71" w14:textId="77777777" w:rsidR="00C303FF" w:rsidRDefault="00C303FF" w:rsidP="004D3B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A8A8" w14:textId="77777777" w:rsidR="004D3BBB" w:rsidRDefault="004D3B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9D43C" w14:textId="2FCCF8E0" w:rsidR="004D3BBB" w:rsidRDefault="004D3BBB" w:rsidP="004D3BBB">
    <w:pPr>
      <w:pStyle w:val="Footer"/>
      <w:jc w:val="center"/>
    </w:pPr>
    <w:r>
      <w:t xml:space="preserve">Page </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15A94" w14:textId="77777777" w:rsidR="004D3BBB" w:rsidRDefault="004D3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424B6" w14:textId="77777777" w:rsidR="00C303FF" w:rsidRDefault="00C303FF" w:rsidP="004D3BBB">
      <w:pPr>
        <w:spacing w:after="0"/>
      </w:pPr>
      <w:r>
        <w:separator/>
      </w:r>
    </w:p>
  </w:footnote>
  <w:footnote w:type="continuationSeparator" w:id="0">
    <w:p w14:paraId="65693517" w14:textId="77777777" w:rsidR="00C303FF" w:rsidRDefault="00C303FF" w:rsidP="004D3B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CB0C" w14:textId="77777777" w:rsidR="004D3BBB" w:rsidRDefault="004D3B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86BA8" w14:textId="77777777" w:rsidR="004D3BBB" w:rsidRDefault="004D3B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FB85" w14:textId="77777777" w:rsidR="004D3BBB" w:rsidRDefault="004D3B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A21E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30959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5E5E"/>
    <w:rsid w:val="004D3BBB"/>
    <w:rsid w:val="00610604"/>
    <w:rsid w:val="008C5E5E"/>
    <w:rsid w:val="00C303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820B5"/>
  <w15:docId w15:val="{17B8F13A-A515-483F-8624-CA3AF8CD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4D3BBB"/>
    <w:pPr>
      <w:tabs>
        <w:tab w:val="center" w:pos="4680"/>
        <w:tab w:val="right" w:pos="9360"/>
      </w:tabs>
      <w:spacing w:after="0"/>
    </w:pPr>
  </w:style>
  <w:style w:type="character" w:customStyle="1" w:styleId="HeaderChar">
    <w:name w:val="Header Char"/>
    <w:basedOn w:val="DefaultParagraphFont"/>
    <w:link w:val="Header"/>
    <w:rsid w:val="004D3BBB"/>
  </w:style>
  <w:style w:type="paragraph" w:styleId="Footer">
    <w:name w:val="footer"/>
    <w:basedOn w:val="Normal"/>
    <w:link w:val="FooterChar"/>
    <w:rsid w:val="004D3BBB"/>
    <w:pPr>
      <w:tabs>
        <w:tab w:val="center" w:pos="4680"/>
        <w:tab w:val="right" w:pos="9360"/>
      </w:tabs>
      <w:spacing w:after="0"/>
    </w:pPr>
  </w:style>
  <w:style w:type="character" w:customStyle="1" w:styleId="FooterChar">
    <w:name w:val="Footer Char"/>
    <w:basedOn w:val="DefaultParagraphFont"/>
    <w:link w:val="Footer"/>
    <w:rsid w:val="004D3BBB"/>
  </w:style>
  <w:style w:type="character" w:styleId="LineNumber">
    <w:name w:val="line number"/>
    <w:basedOn w:val="DefaultParagraphFont"/>
    <w:rsid w:val="004D3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39/f87-141" TargetMode="External"/><Relationship Id="rId18" Type="http://schemas.openxmlformats.org/officeDocument/2006/relationships/hyperlink" Target="https://doi.org/10.5962/p.363475" TargetMode="External"/><Relationship Id="rId26" Type="http://schemas.openxmlformats.org/officeDocument/2006/relationships/hyperlink" Target="https://doi.org/10.1111/2041-210X.12838" TargetMode="External"/><Relationship Id="rId39" Type="http://schemas.openxmlformats.org/officeDocument/2006/relationships/theme" Target="theme/theme1.xml"/><Relationship Id="rId21" Type="http://schemas.openxmlformats.org/officeDocument/2006/relationships/hyperlink" Target="https://doi.org/10.1675/1524-4695-31.3.385"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doi.org/10.1139/f85-261" TargetMode="External"/><Relationship Id="rId17" Type="http://schemas.openxmlformats.org/officeDocument/2006/relationships/hyperlink" Target="https://doi.org/10.5962/p.357075" TargetMode="External"/><Relationship Id="rId25" Type="http://schemas.openxmlformats.org/officeDocument/2006/relationships/hyperlink" Target="https://doi.org/10.1093/biosci/biz010"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ublications.gc.ca/site/eng/9.912189/publication.html" TargetMode="External"/><Relationship Id="rId20" Type="http://schemas.openxmlformats.org/officeDocument/2006/relationships/hyperlink" Target="https://doi.org/10.1093/condor/109.1.216" TargetMode="External"/><Relationship Id="rId29" Type="http://schemas.openxmlformats.org/officeDocument/2006/relationships/hyperlink" Target="https://open.canada.ca/data/en/dataset/d892511c-d851-4f85-a0ec-708bc05d281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16/j.biocon.2009.05.006"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i.org/10.3354/meps14274" TargetMode="External"/><Relationship Id="rId23" Type="http://schemas.openxmlformats.org/officeDocument/2006/relationships/hyperlink" Target="https://doi.org/10.3354/meps12594" TargetMode="External"/><Relationship Id="rId28" Type="http://schemas.openxmlformats.org/officeDocument/2006/relationships/hyperlink" Target="https://support.ebird.org/en/support/solutions/articles/48000838205-download-ebird-data" TargetMode="External"/><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yperlink" Target="https://doi.org/10.1139/z03-032" TargetMode="External"/><Relationship Id="rId31" Type="http://schemas.openxmlformats.org/officeDocument/2006/relationships/hyperlink" Target="https://doi.org/10.1111/j.2517-6161.1995.tb02031.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93/icesjms/fsp139" TargetMode="External"/><Relationship Id="rId22" Type="http://schemas.openxmlformats.org/officeDocument/2006/relationships/hyperlink" Target="https://doi.org/10.3354/meps09692" TargetMode="External"/><Relationship Id="rId27" Type="http://schemas.openxmlformats.org/officeDocument/2006/relationships/hyperlink" Target="https://doi.org/10.1111/ddi.13271" TargetMode="External"/><Relationship Id="rId30" Type="http://schemas.openxmlformats.org/officeDocument/2006/relationships/hyperlink" Target="https://doi.org/10.18637/jss.v067.i01"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5978</Words>
  <Characters>38959</Characters>
  <Application>Microsoft Office Word</Application>
  <DocSecurity>0</DocSecurity>
  <Lines>788</Lines>
  <Paragraphs>217</Paragraphs>
  <ScaleCrop>false</ScaleCrop>
  <Company/>
  <LinksUpToDate>false</LinksUpToDate>
  <CharactersWithSpaces>44721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Spatiotemporal associations between coastal birds and Pacific herring spawning in British Columbia</dc:title>
  <dc:creator>Jacob T. Dingwall</dc:creator>
  <cp:keywords/>
  <cp:lastModifiedBy>Jake Dingwall</cp:lastModifiedBy>
  <cp:revision>2</cp:revision>
  <dcterms:created xsi:type="dcterms:W3CDTF">2026-07-22T19:10:00Z</dcterms:created>
  <dcterms:modified xsi:type="dcterms:W3CDTF">2026-07-22T19:10:00Z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mer_references_v2.bib</vt:lpwstr>
  </property>
  <property fmtid="{D5CDD505-2E9C-101B-9397-08002B2CF9AE}" pid="5" name="by-author">
    <vt:lpwstr/>
  </property>
  <property fmtid="{D5CDD505-2E9C-101B-9397-08002B2CF9AE}" pid="6" name="csl">
    <vt:lpwstr>../../../../references/marine-environmental-research.csl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subtitle">
    <vt:lpwstr>Full-length Article</vt:lpwstr>
  </property>
  <property fmtid="{D5CDD505-2E9C-101B-9397-08002B2CF9AE}" pid="14" name="toc-title">
    <vt:lpwstr>Table of contents</vt:lpwstr>
  </property>
</Properties>
</file>